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spacing w:before="120" w:beforeAutospacing="0" w:after="120" w:afterAutospacing="0" w:line="360" w:lineRule="auto"/>
        <w:rPr>
          <w:highlight w:val="none"/>
        </w:rPr>
      </w:pPr>
      <w:r>
        <w:rPr>
          <w:highlight w:val="none"/>
        </w:rPr>
        <w:t xml:space="preserve"> </w:t>
      </w:r>
      <w:r/>
    </w:p>
    <w:p>
      <w:pPr>
        <w:pStyle w:val="686"/>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86"/>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东台市海防监控点位建设项目</w:t>
      </w:r>
      <w:r/>
    </w:p>
    <w:p>
      <w:pPr>
        <w:pStyle w:val="686"/>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项目编号：JSZC-320981-HRMB-G2026-0008</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pStyle w:val="686"/>
        <w:spacing w:beforeAutospacing="0" w:afterAutospacing="0" w:line="360" w:lineRule="auto"/>
        <w:rPr>
          <w:highlight w:val="none"/>
        </w:rPr>
      </w:pPr>
      <w:r>
        <w:rPr>
          <w:highlight w:val="none"/>
        </w:rPr>
        <w:t xml:space="preserve"> </w:t>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pStyle w:val="663"/>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pStyle w:val="663"/>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pStyle w:val="663"/>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r>
      <w:r/>
    </w:p>
    <w:p>
      <w:pPr>
        <w:ind w:firstLine="0"/>
        <w:jc w:val="center"/>
        <w:rPr>
          <w:rFonts w:hint="eastAsia" w:cs="Arial" w:asciiTheme="minorEastAsia" w:hAnsiTheme="minorEastAsia" w:eastAsiaTheme="minorEastAsia"/>
          <w:b/>
          <w:color w:val="000000"/>
          <w:sz w:val="32"/>
          <w:szCs w:val="32"/>
          <w:lang w:val="en-US" w:eastAsia="zh-CN"/>
        </w:rPr>
      </w:pPr>
      <w:r>
        <w:rPr>
          <w:rFonts w:hint="eastAsia" w:cs="Arial" w:asciiTheme="minorEastAsia" w:hAnsiTheme="minorEastAsia"/>
          <w:b/>
          <w:color w:val="000000"/>
          <w:sz w:val="32"/>
          <w:szCs w:val="32"/>
        </w:rPr>
        <w:t xml:space="preserve">采购单位：东台市</w:t>
      </w:r>
      <w:r>
        <w:rPr>
          <w:rFonts w:hint="eastAsia" w:cs="Arial" w:asciiTheme="minorEastAsia" w:hAnsiTheme="minorEastAsia"/>
          <w:b/>
          <w:color w:val="000000"/>
          <w:sz w:val="32"/>
          <w:szCs w:val="32"/>
          <w:lang w:val="en-US" w:eastAsia="zh-CN"/>
        </w:rPr>
        <w:t xml:space="preserve">公安局</w:t>
      </w:r>
      <w:r/>
    </w:p>
    <w:p>
      <w:pPr>
        <w:pStyle w:val="686"/>
        <w:jc w:val="center"/>
        <w:spacing w:before="120" w:beforeAutospacing="0" w:after="120" w:afterAutospacing="0" w:line="360" w:lineRule="auto"/>
        <w:rPr>
          <w:rFonts w:ascii="Arial" w:hAnsi="Arial" w:cs="Arial"/>
          <w:b/>
          <w:color w:val="000000"/>
          <w:sz w:val="32"/>
          <w:szCs w:val="32"/>
          <w:highlight w:val="none"/>
        </w:rPr>
      </w:pPr>
      <w:r>
        <w:rPr>
          <w:rFonts w:hint="eastAsia" w:cs="Arial" w:asciiTheme="minorEastAsia" w:hAnsiTheme="minorEastAsia"/>
          <w:b/>
          <w:color w:val="000000"/>
          <w:sz w:val="32"/>
          <w:szCs w:val="32"/>
        </w:rPr>
        <w:t xml:space="preserve">采购代理机构：江苏</w:t>
      </w:r>
      <w:r>
        <w:rPr>
          <w:rFonts w:hint="eastAsia" w:eastAsia="宋体" w:cs="Arial" w:asciiTheme="minorEastAsia" w:hAnsiTheme="minorEastAsia"/>
          <w:b/>
          <w:color w:val="000000"/>
          <w:sz w:val="32"/>
          <w:szCs w:val="32"/>
          <w:lang w:val="en-US" w:eastAsia="zh-CN"/>
        </w:rPr>
        <w:t xml:space="preserve">跃盛项目管理有限公司</w:t>
      </w:r>
      <w:r/>
    </w:p>
    <w:p>
      <w:pPr>
        <w:pStyle w:val="686"/>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06</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18日</w:t>
      </w:r>
      <w:r/>
    </w:p>
    <w:p>
      <w:pPr>
        <w:pStyle w:val="686"/>
        <w:spacing w:before="120" w:beforeAutospacing="0" w:after="120" w:afterAutospacing="0" w:line="360" w:lineRule="auto"/>
        <w:rPr>
          <w:highlight w:val="none"/>
        </w:rPr>
      </w:pPr>
      <w:r>
        <w:rPr>
          <w:rFonts w:ascii="Arial" w:hAnsi="Arial" w:cs="Arial"/>
          <w:color w:val="000000"/>
          <w:highlight w:val="none"/>
        </w:rPr>
        <w:t xml:space="preserve">                        </w:t>
      </w:r>
      <w:r/>
    </w:p>
    <w:p>
      <w:pPr>
        <w:pStyle w:val="686"/>
        <w:jc w:val="center"/>
        <w:spacing w:before="120" w:beforeAutospacing="0" w:after="120" w:afterAutospacing="0" w:line="360" w:lineRule="auto"/>
        <w:rPr>
          <w:highlight w:val="none"/>
        </w:rPr>
      </w:pPr>
      <w:r>
        <w:rPr>
          <w:highlight w:val="none"/>
        </w:rPr>
        <w:t xml:space="preserve"> </w:t>
      </w:r>
      <w:r/>
    </w:p>
    <w:p>
      <w:pPr>
        <w:pStyle w:val="686"/>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20823272"/>
      <w:r/>
      <w:bookmarkStart w:id="2" w:name="_Toc523127445"/>
      <w:r/>
      <w:bookmarkStart w:id="3" w:name="_Toc513029200"/>
      <w:r/>
      <w:bookmarkStart w:id="4" w:name="_Toc120614210"/>
      <w:r/>
      <w:bookmarkStart w:id="5" w:name="_Toc47975720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86"/>
        <w:jc w:val="both"/>
        <w:spacing w:beforeAutospacing="0" w:afterAutospacing="0" w:line="480" w:lineRule="auto"/>
        <w:rPr>
          <w:highlight w:val="none"/>
        </w:rPr>
      </w:pPr>
      <w:r>
        <w:rPr>
          <w:highlight w:val="none"/>
        </w:rPr>
        <w:t xml:space="preserve"> </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8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center"/>
        <w:spacing w:beforeAutospacing="0" w:afterAutospacing="0"/>
        <w:rPr>
          <w:rFonts w:hint="default" w:eastAsia="黑体"/>
          <w:highlight w:val="none"/>
          <w:lang w:val="en-US" w:eastAsia="zh-CN"/>
        </w:rPr>
      </w:pPr>
      <w:r>
        <w:rPr>
          <w:highlight w:val="none"/>
        </w:rPr>
        <w:t xml:space="preserve">  </w:t>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8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东台市海防监控点位建设项目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86"/>
        <w:ind w:firstLine="498"/>
        <w:jc w:val="both"/>
        <w:keepLines/>
        <w:keepNext/>
        <w:pageBreakBefore w:val="0"/>
        <w:spacing w:beforeAutospacing="0" w:afterAutospacing="0" w:line="420" w:lineRule="exact"/>
        <w:rPr>
          <w:rFonts w:hint="eastAsia" w:ascii="宋体" w:hAnsi="宋体" w:eastAsia="宋体" w:cs="宋体"/>
          <w:sz w:val="24"/>
          <w:szCs w:val="24"/>
          <w:highlight w:val="none"/>
        </w:rPr>
      </w:pPr>
      <w:r/>
      <w:bookmarkStart w:id="6" w:name="_Toc28359002"/>
      <w:r/>
      <w:bookmarkStart w:id="7" w:name="_Toc35393621"/>
      <w:r/>
      <w:bookmarkStart w:id="8" w:name="_Toc38985263"/>
      <w:r/>
      <w:bookmarkStart w:id="9" w:name="_Toc28359079"/>
      <w:r/>
      <w:bookmarkStart w:id="10" w:name="_Hlk24379207"/>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JSZC-320981-HRMB-G2026-0008</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东台市海防监控点位建设项目</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6"/>
        <w:ind w:firstLine="480"/>
        <w:jc w:val="both"/>
        <w:pageBreakBefore w:val="0"/>
        <w:spacing w:beforeAutospacing="0" w:afterAutospacing="0" w:line="4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189万元</w:t>
      </w:r>
      <w:r/>
    </w:p>
    <w:p>
      <w:pPr>
        <w:pStyle w:val="686"/>
        <w:ind w:firstLine="480"/>
        <w:jc w:val="both"/>
        <w:pageBreakBefore w:val="0"/>
        <w:spacing w:beforeAutospacing="0" w:afterAutospacing="0" w:line="420" w:lineRule="exact"/>
        <w:rPr>
          <w:rFonts w:hint="default"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189万元</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东台市海防监控点位建设项目</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p>
    <w:p>
      <w:pPr>
        <w:pStyle w:val="686"/>
        <w:ind w:firstLine="480"/>
        <w:jc w:val="both"/>
        <w:pageBreakBefore w:val="0"/>
        <w:spacing w:beforeAutospacing="0" w:afterAutospacing="0" w:line="4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w:t>
      </w:r>
      <w:r>
        <w:rPr>
          <w:rFonts w:hint="eastAsia" w:ascii="宋体" w:hAnsi="宋体" w:eastAsia="宋体" w:cs="宋体"/>
          <w:color w:val="000000"/>
          <w:sz w:val="24"/>
          <w:szCs w:val="24"/>
          <w:highlight w:val="none"/>
          <w:lang w:val="en-US" w:eastAsia="zh-CN"/>
        </w:rPr>
        <w:t xml:space="preserve">90日历天</w:t>
      </w:r>
      <w:r>
        <w:rPr>
          <w:rFonts w:hint="eastAsia" w:ascii="宋体" w:hAnsi="宋体" w:eastAsia="宋体" w:cs="宋体"/>
          <w:color w:val="000000"/>
          <w:sz w:val="24"/>
          <w:szCs w:val="24"/>
          <w:highlight w:val="none"/>
        </w:rPr>
        <w:t xml:space="preserve">内货物全部送达招标人指定位置且安装、调试完毕，并确保正常稳定运行。</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rPr>
        <w:t xml:space="preserve">联合体参与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w:t>
      </w:r>
      <w:r/>
    </w:p>
    <w:p>
      <w:pPr>
        <w:pStyle w:val="686"/>
        <w:ind w:firstLine="498"/>
        <w:jc w:val="both"/>
        <w:keepLines/>
        <w:keepNext/>
        <w:pageBreakBefore w:val="0"/>
        <w:spacing w:beforeAutospacing="0" w:afterAutospacing="0" w:line="420" w:lineRule="exact"/>
        <w:rPr>
          <w:rFonts w:hint="eastAsia" w:ascii="宋体" w:hAnsi="宋体" w:eastAsia="宋体" w:cs="宋体"/>
          <w:sz w:val="24"/>
          <w:szCs w:val="24"/>
          <w:highlight w:val="none"/>
        </w:rPr>
      </w:pPr>
      <w:r/>
      <w:bookmarkStart w:id="12" w:name="_Toc35393622"/>
      <w:r/>
      <w:bookmarkStart w:id="13" w:name="_Toc38985264"/>
      <w:r/>
      <w:bookmarkStart w:id="14" w:name="_Toc35393791"/>
      <w:r/>
      <w:bookmarkStart w:id="15" w:name="_Toc28359080"/>
      <w:r/>
      <w:bookmarkStart w:id="16" w:name="_Toc28359003"/>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86"/>
        <w:ind w:firstLine="480"/>
        <w:jc w:val="both"/>
        <w:pageBreakBefore w:val="0"/>
        <w:spacing w:beforeAutospacing="0" w:afterAutospacing="0" w:line="4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6"/>
        <w:ind w:firstLine="480"/>
        <w:jc w:val="both"/>
        <w:pageBreakBefore w:val="0"/>
        <w:spacing w:beforeAutospacing="0" w:afterAutospacing="0" w:line="4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6"/>
        <w:ind w:firstLine="480"/>
        <w:jc w:val="both"/>
        <w:pageBreakBefore w:val="0"/>
        <w:spacing w:beforeAutospacing="0" w:afterAutospacing="0" w:line="4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686"/>
        <w:ind w:firstLine="480"/>
        <w:jc w:val="both"/>
        <w:pageBreakBefore w:val="0"/>
        <w:spacing w:beforeAutospacing="0" w:afterAutospacing="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86"/>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投标人如委托被授权人参与，则被授权人须为本单位正式职工并提供供应商为被授权人缴纳的社会养老保险证明。</w:t>
      </w:r>
      <w:r/>
    </w:p>
    <w:p>
      <w:pPr>
        <w:pStyle w:val="686"/>
        <w:ind w:firstLine="498"/>
        <w:jc w:val="both"/>
        <w:keepLines/>
        <w:keepNext/>
        <w:pageBreakBefore w:val="0"/>
        <w:spacing w:beforeAutospacing="0" w:afterAutospacing="0"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28359005"/>
      <w:r/>
      <w:bookmarkStart w:id="19" w:name="_Toc35393793"/>
      <w:r/>
      <w:bookmarkStart w:id="20" w:name="_Toc28359082"/>
      <w:r/>
      <w:bookmarkStart w:id="21"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6"/>
        <w:ind w:firstLine="498"/>
        <w:jc w:val="both"/>
        <w:keepLines/>
        <w:keepNext/>
        <w:pageBreakBefore w:val="0"/>
        <w:spacing w:beforeAutospacing="0" w:afterAutospacing="0" w:line="42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时间：2026年7月23</w:t>
      </w:r>
      <w:bookmarkStart w:id="227" w:name="_GoBack"/>
      <w:r/>
      <w:bookmarkEnd w:id="227"/>
      <w:r>
        <w:rPr>
          <w:rFonts w:hint="eastAsia" w:ascii="宋体" w:hAnsi="宋体" w:eastAsia="宋体" w:cs="宋体"/>
          <w:color w:val="000000"/>
          <w:sz w:val="24"/>
          <w:szCs w:val="24"/>
          <w:highlight w:val="none"/>
          <w:lang w:val="en-US" w:eastAsia="zh-CN" w:bidi="ar-SA"/>
        </w:rPr>
        <w:t xml:space="preserve">日8点30分（北京时间）。</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6"/>
        <w:ind w:firstLine="498"/>
        <w:jc w:val="both"/>
        <w:keepLines/>
        <w:keepNext/>
        <w:pageBreakBefore w:val="0"/>
        <w:spacing w:beforeAutospacing="0" w:afterAutospacing="0" w:line="420" w:lineRule="exact"/>
        <w:rPr>
          <w:rFonts w:hint="eastAsia" w:ascii="宋体" w:hAnsi="宋体" w:eastAsia="宋体" w:cs="宋体"/>
          <w:sz w:val="24"/>
          <w:szCs w:val="24"/>
          <w:highlight w:val="none"/>
        </w:rPr>
      </w:pPr>
      <w:r/>
      <w:bookmarkStart w:id="22" w:name="_Toc35393625"/>
      <w:r/>
      <w:bookmarkStart w:id="23" w:name="_Toc38985267"/>
      <w:r/>
      <w:bookmarkStart w:id="24" w:name="_Toc35393794"/>
      <w:r/>
      <w:bookmarkStart w:id="25" w:name="_Toc28359007"/>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86"/>
        <w:ind w:firstLine="498"/>
        <w:jc w:val="both"/>
        <w:keepLines/>
        <w:keepNext/>
        <w:pageBreakBefore w:val="0"/>
        <w:spacing w:beforeAutospacing="0" w:afterAutospacing="0" w:line="42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42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绑定与登录--参与投标--下载采购文件（后缀名为“.kedt”）--将后缀名为“.kedt”的招标文件导入政府采购客户端工具--制作投标文件--导出加密的投标文件（后缀名为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招标文件（后缀名为“.kedt”）、供应商操作手册及政府采购客户端 工具可通过“苏采云”系统相应链接进行下载。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采购代理机构将数据电文形式的招标文件加载至“苏采云”系统，供潜在供应商下载或者查阅。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5.本项目（是/否）接受银行、保险、石油石化、电力、电信等行业的分支机构参与：</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lang w:val="en-US" w:eastAsia="zh-CN"/>
        </w:rPr>
        <w:t xml:space="preserve">。【如接受，则分支机构的负责人视同为投标人法定代表人。】</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本项目允许独立法人资格电信运营商分支机构参加投标，除营业执照和“信用中国”外，分支机构可提供上、下级公司或总公司的资格证明文件。（同一独立法人资格电信运营商及分支机构，不得同时参加本项目的投标。）</w:t>
      </w:r>
      <w:r/>
    </w:p>
    <w:p>
      <w:pPr>
        <w:pStyle w:val="653"/>
        <w:ind w:left="0"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0"/>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lang w:val="en-US" w:eastAsia="zh-CN"/>
        </w:rPr>
        <w:t xml:space="preserve">东台市公安局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w:t>
      </w:r>
      <w:r>
        <w:rPr>
          <w:rFonts w:hint="eastAsia" w:ascii="宋体" w:hAnsi="宋体" w:eastAsia="宋体" w:cs="宋体"/>
          <w:color w:val="000000"/>
          <w:sz w:val="24"/>
          <w:szCs w:val="24"/>
          <w:lang w:val="en-US" w:eastAsia="zh-CN"/>
        </w:rPr>
        <w:t xml:space="preserve">盐城市东台市广场路1号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宋体" w:hAnsi="宋体" w:eastAsia="宋体" w:cs="宋体"/>
          <w:color w:val="000000"/>
          <w:sz w:val="24"/>
          <w:szCs w:val="24"/>
          <w:lang w:val="en-US" w:eastAsia="zh-CN"/>
        </w:rPr>
        <w:t xml:space="preserve">宗先生</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lang w:val="en-US" w:eastAsia="zh-CN"/>
        </w:rPr>
        <w:t xml:space="preserve">15161941511</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称：江苏跃盛项目管理有限公司</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址：东台市黄海花苑小区18号楼四层</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联系人：赵先生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18105111998       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项目联系人：赵先生（组织本项目采购活动的具体工作人员姓名）</w:t>
      </w:r>
      <w:r/>
    </w:p>
    <w:p>
      <w:pPr>
        <w:pStyle w:val="686"/>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lang w:val="en-US" w:eastAsia="zh-CN"/>
        </w:rPr>
        <w:t xml:space="preserve">18105111998</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jc w:val="center"/>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513029202"/>
      <w:r/>
      <w:bookmarkStart w:id="38" w:name="_Toc16938518"/>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40" w:name="_Toc20823275"/>
      <w:r/>
      <w:bookmarkStart w:id="41" w:name="_Toc16938519"/>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49" w:name="_Toc20823277"/>
      <w:r/>
      <w:bookmarkStart w:id="50" w:name="_Toc16938521"/>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firstLine="480"/>
        <w:pageBreakBefore w:val="0"/>
        <w:spacing w:line="420" w:lineRule="exact"/>
        <w:widowControl w:val="off"/>
        <w:rPr>
          <w:rFonts w:hint="eastAsia" w:ascii="宋体" w:hAnsi="宋体" w:eastAsia="宋体" w:cs="宋体"/>
          <w:color w:val="auto"/>
          <w:sz w:val="24"/>
          <w:szCs w:val="21"/>
        </w:rPr>
      </w:pPr>
      <w:r/>
      <w:bookmarkStart w:id="52" w:name="_Toc20823278"/>
      <w:r/>
      <w:bookmarkStart w:id="53" w:name="_Toc513029206"/>
      <w:r/>
      <w:bookmarkStart w:id="54" w:name="_Toc16938522"/>
      <w:r/>
      <w:bookmarkStart w:id="55" w:name="_Toc16938523"/>
      <w:r/>
      <w:bookmarkStart w:id="56" w:name="_Toc513029207"/>
      <w:r/>
      <w:bookmarkStart w:id="57" w:name="_Toc462564067"/>
      <w:r/>
      <w:bookmarkStart w:id="58" w:name="_Toc20823279"/>
      <w:r>
        <w:rPr>
          <w:rFonts w:hint="eastAsia" w:ascii="宋体" w:hAnsi="宋体" w:eastAsia="宋体" w:cs="宋体"/>
          <w:color w:val="auto"/>
          <w:sz w:val="24"/>
          <w:szCs w:val="21"/>
        </w:rPr>
        <w:t xml:space="preserve">3、适用法律</w:t>
      </w:r>
      <w:bookmarkEnd w:id="52"/>
      <w:r/>
      <w:bookmarkEnd w:id="53"/>
      <w:r/>
      <w:bookmarkEnd w:id="54"/>
      <w:r>
        <w:rPr>
          <w:rFonts w:hint="eastAsia" w:ascii="宋体" w:hAnsi="宋体" w:eastAsia="宋体" w:cs="宋体"/>
          <w:color w:val="auto"/>
          <w:sz w:val="24"/>
          <w:szCs w:val="21"/>
        </w:rPr>
        <w:t xml:space="preserve">和标准</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4.1投标人应自行承担所有与参加投标有关的费用，无论投标过程中的做法和结果如何，采购人及代理机构在任何情况下均无义务和责任承担这些费用。</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4.2本次采购人不收取标书工本费与中标服务费。</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66" w:name="_Toc462564070"/>
      <w:r/>
      <w:bookmarkStart w:id="67" w:name="_Toc513029211"/>
      <w:r/>
      <w:bookmarkStart w:id="68" w:name="_Toc16938527"/>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70" w:name="_Toc513029212"/>
      <w:r/>
      <w:bookmarkStart w:id="71" w:name="_Toc16938528"/>
      <w:r/>
      <w:bookmarkStart w:id="72" w:name="_Toc462564071"/>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74" w:name="_Toc462564072"/>
      <w:r/>
      <w:bookmarkStart w:id="75" w:name="_Toc16938529"/>
      <w:r/>
      <w:bookmarkStart w:id="76" w:name="_Toc513029213"/>
      <w:r/>
      <w:bookmarkStart w:id="77" w:name="_Toc120614216"/>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79" w:name="_Toc20823286"/>
      <w:r/>
      <w:bookmarkStart w:id="80" w:name="_Toc16938530"/>
      <w:r/>
      <w:bookmarkStart w:id="81" w:name="_Toc513029214"/>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83" w:name="_Toc20823287"/>
      <w:r/>
      <w:bookmarkStart w:id="84" w:name="_Toc513029215"/>
      <w:r/>
      <w:bookmarkStart w:id="85" w:name="_Toc16938531"/>
      <w:r/>
      <w:bookmarkStart w:id="86" w:name="_Toc462564074"/>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87" w:name="_Toc513029216"/>
      <w:r/>
      <w:bookmarkStart w:id="88" w:name="_Toc14577354"/>
      <w:r/>
      <w:bookmarkStart w:id="89" w:name="_Toc49090507"/>
      <w:r/>
      <w:bookmarkStart w:id="90" w:name="_Toc14577357"/>
      <w:r/>
      <w:bookmarkStart w:id="91" w:name="_Toc49090509"/>
      <w:r/>
      <w:bookmarkStart w:id="92" w:name="_Toc513029219"/>
      <w:r/>
      <w:bookmarkStart w:id="93" w:name="_Hlt26670360"/>
      <w:r/>
      <w:bookmarkStart w:id="94" w:name="_Hlt26954838"/>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bookmarkStart w:id="96" w:name="_Toc49090508"/>
      <w:r/>
      <w:bookmarkStart w:id="97"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01" w:name="_Hlt26670486"/>
      <w:r/>
      <w:bookmarkStart w:id="102" w:name="_Hlt26954842"/>
      <w:r/>
      <w:bookmarkStart w:id="103" w:name="_Hlt26670425"/>
      <w:r/>
      <w:bookmarkStart w:id="104" w:name="_Hlt26670482"/>
      <w:r/>
      <w:bookmarkStart w:id="105" w:name="_Hlt26954848"/>
      <w:r/>
      <w:bookmarkStart w:id="106" w:name="_Hlt26954844"/>
      <w:r/>
      <w:bookmarkStart w:id="107" w:name="_Hlt26954846"/>
      <w:r/>
      <w:bookmarkStart w:id="108" w:name="_Hlt26670403"/>
      <w:r/>
      <w:bookmarkStart w:id="109" w:name="_Hlt26668983"/>
      <w:r/>
      <w:bookmarkStart w:id="110"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6"/>
        <w:ind w:left="0" w:firstLine="480"/>
        <w:jc w:val="both"/>
        <w:pageBreakBefore w:val="0"/>
        <w:spacing w:beforeAutospacing="0" w:afterAutospacing="0" w:line="42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11" w:name="_Toc49090510"/>
      <w:r/>
      <w:bookmarkStart w:id="112" w:name="_Toc14577359"/>
      <w:r>
        <w:rPr>
          <w:rFonts w:hint="eastAsia" w:ascii="宋体" w:hAnsi="宋体" w:eastAsia="宋体" w:cs="宋体"/>
          <w:color w:val="000000"/>
          <w:sz w:val="24"/>
          <w:szCs w:val="24"/>
          <w:highlight w:val="none"/>
        </w:rPr>
        <w:t xml:space="preserve">14、投标函和开标一览表</w:t>
      </w:r>
      <w:bookmarkEnd w:id="111"/>
      <w:r/>
      <w:bookmarkEnd w:id="112"/>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13" w:name="_Toc49090511"/>
      <w:r/>
      <w:bookmarkStart w:id="114" w:name="_Toc14577360"/>
      <w:r/>
      <w:bookmarkStart w:id="115" w:name="_Hlt26954734"/>
      <w:r/>
      <w:bookmarkStart w:id="116" w:name="_Hlt26670489"/>
      <w:r/>
      <w:bookmarkStart w:id="117" w:name="_Hlt26954850"/>
      <w:r>
        <w:rPr>
          <w:rFonts w:hint="eastAsia" w:ascii="宋体" w:hAnsi="宋体" w:eastAsia="宋体" w:cs="宋体"/>
          <w:color w:val="000000"/>
          <w:sz w:val="24"/>
          <w:szCs w:val="24"/>
          <w:highlight w:val="none"/>
        </w:rPr>
        <w:t xml:space="preserve">15、投标有效期</w:t>
      </w:r>
      <w:bookmarkEnd w:id="113"/>
      <w:r/>
      <w:bookmarkEnd w:id="114"/>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18" w:name="_Toc120614217"/>
      <w:r/>
      <w:bookmarkStart w:id="119" w:name="_Toc16938540"/>
      <w:r/>
      <w:bookmarkStart w:id="120" w:name="_Toc513029224"/>
      <w:r/>
      <w:bookmarkStart w:id="121" w:name="_Toc20823296"/>
      <w:r/>
      <w:bookmarkStart w:id="122" w:name="_Hlt26954852"/>
      <w:r/>
      <w:bookmarkStart w:id="123" w:name="_Hlt26954739"/>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bookmarkStart w:id="124" w:name="_Toc513029225"/>
      <w:r/>
      <w:bookmarkStart w:id="125" w:name="_Toc16938541"/>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31" w:name="_Toc513029227"/>
      <w:r/>
      <w:bookmarkStart w:id="132" w:name="_Toc16938543"/>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34" w:name="_Toc16938544"/>
      <w:r/>
      <w:bookmarkStart w:id="135" w:name="_Toc513029228"/>
      <w:r/>
      <w:bookmarkStart w:id="136" w:name="_Toc20823300"/>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37" w:name="_Toc513029229"/>
      <w:r/>
      <w:bookmarkStart w:id="138" w:name="_Toc16938545"/>
      <w:r/>
      <w:bookmarkStart w:id="139" w:name="_Toc20823301"/>
      <w:r/>
      <w:bookmarkStart w:id="140" w:name="_Toc120614218"/>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1" w:name="_Toc20823302"/>
      <w:r/>
      <w:bookmarkStart w:id="142" w:name="_Toc513029230"/>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21.2开标仪式由采购人或代理机构组织。苏采云系统将自动对项目进行开标，并宣布各投标人名称和投标价格。</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47" w:name="_Toc20823304"/>
      <w:r/>
      <w:bookmarkStart w:id="148" w:name="_Toc16938548"/>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50" w:name="_Toc513029233"/>
      <w:r/>
      <w:bookmarkStart w:id="151" w:name="_Toc20823305"/>
      <w:r/>
      <w:bookmarkStart w:id="152" w:name="_Toc16938549"/>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4472c4" w:themeColor="accent5"/>
          <w:sz w:val="24"/>
          <w:szCs w:val="24"/>
          <w:highlight w:val="none"/>
          <w14:textFill>
            <w14:solidFill>
              <w14:schemeClr w14:val="accent5"/>
            </w14:solidFill>
          </w14:textFill>
        </w:rPr>
      </w:pPr>
      <w:r/>
      <w:bookmarkStart w:id="153" w:name="_Toc16938550"/>
      <w:r/>
      <w:bookmarkStart w:id="154" w:name="_Toc20823306"/>
      <w:r/>
      <w:bookmarkStart w:id="155" w:name="_Toc513029234"/>
      <w:r>
        <w:rPr>
          <w:rFonts w:hint="eastAsia" w:ascii="宋体" w:hAnsi="宋体" w:eastAsia="宋体" w:cs="宋体"/>
          <w:color w:val="4472c4" w:themeColor="accent5"/>
          <w:sz w:val="24"/>
          <w:szCs w:val="24"/>
          <w:highlight w:val="none"/>
          <w14:textFill>
            <w14:solidFill>
              <w14:schemeClr w14:val="accent5"/>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4472c4" w:themeColor="accent5"/>
          <w:sz w:val="24"/>
          <w:szCs w:val="24"/>
          <w:highlight w:val="none"/>
          <w14:textFill>
            <w14:solidFill>
              <w14:schemeClr w14:val="accent5"/>
            </w14:solidFill>
          </w14:textFill>
        </w:rPr>
      </w:pPr>
      <w:r>
        <w:rPr>
          <w:rFonts w:hint="eastAsia" w:ascii="宋体" w:hAnsi="宋体" w:eastAsia="宋体" w:cs="宋体"/>
          <w:color w:val="4472c4" w:themeColor="accent5"/>
          <w:sz w:val="24"/>
          <w:szCs w:val="24"/>
          <w:highlight w:val="none"/>
          <w14:textFill>
            <w14:solidFill>
              <w14:schemeClr w14:val="accent5"/>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4472c4" w:themeColor="accent5"/>
          <w:sz w:val="24"/>
          <w:szCs w:val="24"/>
          <w:highlight w:val="none"/>
          <w14:textFill>
            <w14:solidFill>
              <w14:schemeClr w14:val="accent5"/>
            </w14:solidFill>
          </w14:textFill>
        </w:rPr>
      </w:pPr>
      <w:r>
        <w:rPr>
          <w:rFonts w:hint="eastAsia" w:ascii="宋体" w:hAnsi="宋体" w:eastAsia="宋体" w:cs="宋体"/>
          <w:color w:val="4472c4" w:themeColor="accent5"/>
          <w:sz w:val="24"/>
          <w:szCs w:val="24"/>
          <w:highlight w:val="none"/>
          <w14:textFill>
            <w14:solidFill>
              <w14:schemeClr w14:val="accent5"/>
            </w14:solidFill>
          </w14:textFill>
        </w:rPr>
        <w:t xml:space="preserve">非单一产品采购项目，招标文件中将载明其中的核心产品。多家投标人提供的核心产品品牌相同的，按前两款规定处理。</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color w:val="000000"/>
          <w:sz w:val="24"/>
          <w:szCs w:val="24"/>
          <w:highlight w:val="none"/>
          <w:lang w:eastAsia="zh-CN"/>
        </w:rPr>
        <w:t xml:space="preserve">。</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6"/>
        <w:ind w:lef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6"/>
        <w:ind w:left="0" w:right="0" w:firstLine="482"/>
        <w:jc w:val="both"/>
        <w:pageBreakBefore w:val="0"/>
        <w:spacing w:beforeAutospacing="0" w:afterAutospacing="0" w:line="4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投标文件未按照招标文件要求加盖CA电子公章的。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其他法律、法规及本招标文件规定的属无效投标的情形。</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28.4条款的规定向采购人提出质疑。上述应知其权益受到损害之日，是指：</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left="0" w:firstLine="480"/>
        <w:jc w:val="left"/>
        <w:pageBreakBefore w:val="0"/>
        <w:spacing w:line="42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w:t>
      </w:r>
      <w:r/>
    </w:p>
    <w:p>
      <w:pPr>
        <w:ind w:left="0" w:firstLine="480"/>
        <w:jc w:val="left"/>
        <w:pageBreakBefore w:val="0"/>
        <w:spacing w:line="42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质疑受理部门：</w:t>
      </w:r>
      <w:r>
        <w:rPr>
          <w:rFonts w:hint="eastAsia" w:ascii="宋体" w:hAnsi="宋体" w:eastAsia="宋体" w:cs="宋体"/>
          <w:color w:val="000000"/>
          <w:sz w:val="24"/>
          <w:szCs w:val="24"/>
          <w:highlight w:val="none"/>
          <w:u w:val="single"/>
          <w:lang w:val="en-US" w:eastAsia="zh-CN" w:bidi="ar-SA"/>
        </w:rPr>
        <w:t xml:space="preserve">东台市公安局  </w:t>
      </w:r>
      <w:r>
        <w:rPr>
          <w:rFonts w:hint="eastAsia" w:ascii="宋体" w:hAnsi="宋体" w:eastAsia="宋体" w:cs="宋体"/>
          <w:color w:val="000000"/>
          <w:sz w:val="24"/>
          <w:szCs w:val="24"/>
          <w:highlight w:val="none"/>
          <w:lang w:val="en-US" w:eastAsia="zh-CN" w:bidi="ar-SA"/>
        </w:rPr>
        <w:t xml:space="preserve">         </w:t>
      </w:r>
      <w:r/>
    </w:p>
    <w:p>
      <w:pPr>
        <w:ind w:left="0" w:firstLine="480"/>
        <w:jc w:val="left"/>
        <w:pageBreakBefore w:val="0"/>
        <w:spacing w:line="42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w:t>
      </w:r>
      <w:r>
        <w:rPr>
          <w:rFonts w:hint="eastAsia" w:ascii="宋体" w:hAnsi="宋体" w:eastAsia="宋体" w:cs="宋体"/>
          <w:color w:val="000000"/>
          <w:sz w:val="24"/>
          <w:szCs w:val="24"/>
          <w:highlight w:val="none"/>
          <w:u w:val="single"/>
          <w:lang w:val="en-US" w:eastAsia="zh-CN" w:bidi="ar-SA"/>
        </w:rPr>
        <w:t xml:space="preserve">盐城市东台市广场路1号  </w:t>
      </w:r>
      <w:r>
        <w:rPr>
          <w:rFonts w:hint="eastAsia" w:ascii="宋体" w:hAnsi="宋体" w:eastAsia="宋体" w:cs="宋体"/>
          <w:color w:val="000000"/>
          <w:sz w:val="24"/>
          <w:szCs w:val="24"/>
          <w:highlight w:val="none"/>
          <w:lang w:val="en-US" w:eastAsia="zh-CN" w:bidi="ar-SA"/>
        </w:rPr>
        <w:t xml:space="preserve">   </w:t>
      </w:r>
      <w:r/>
    </w:p>
    <w:p>
      <w:pPr>
        <w:ind w:left="0" w:firstLine="480"/>
        <w:jc w:val="left"/>
        <w:pageBreakBefore w:val="0"/>
        <w:spacing w:line="42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宗先生（0515-85298316） </w:t>
      </w:r>
      <w:r>
        <w:rPr>
          <w:rFonts w:hint="eastAsia" w:ascii="宋体" w:hAnsi="宋体" w:eastAsia="宋体" w:cs="宋体"/>
          <w:color w:val="000000"/>
          <w:sz w:val="24"/>
          <w:szCs w:val="24"/>
          <w:highlight w:val="none"/>
          <w:lang w:val="en-US" w:eastAsia="zh-CN" w:bidi="ar-SA"/>
        </w:rPr>
        <w:t xml:space="preserve"> </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6"/>
        <w:ind w:left="0" w:firstLine="482"/>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64" w:name="_Toc513029236"/>
      <w:r/>
      <w:bookmarkStart w:id="165" w:name="_Toc16938552"/>
      <w:r/>
      <w:bookmarkStart w:id="166" w:name="_Toc120614220"/>
      <w:r/>
      <w:bookmarkStart w:id="167" w:name="_Toc20823308"/>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bookmarkStart w:id="168" w:name="_Toc513029237"/>
      <w:r/>
      <w:bookmarkStart w:id="169" w:name="_Toc20823309"/>
      <w:r/>
      <w:bookmarkStart w:id="170" w:name="_Toc16938553"/>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（包含与货物相关的服务）的追加</w:t>
      </w:r>
      <w:r/>
    </w:p>
    <w:p>
      <w:pPr>
        <w:pStyle w:val="686"/>
        <w:ind w:left="0"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（包含与货物相关的服务），在不改变合同其他条款的前提下，可以与中标人协商签订补充合同，但所有补充合同的采购金额不超过原合同金额10%。</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2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2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32.3.6.1安置的残疾人占本单位在职职工人数的比例不低于25%（含25%），并且安置的残疾人人数不少于10人（含10人）；</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6"/>
        <w:ind w:left="0" w:firstLine="480"/>
        <w:jc w:val="both"/>
        <w:keepLines/>
        <w:keepNext/>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2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42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20" w:lineRule="exact"/>
        <w:widowControl w:val="off"/>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32.8实施本国产品标准及相关政策</w:t>
      </w:r>
      <w:r/>
    </w:p>
    <w:p>
      <w:pPr>
        <w:ind w:left="0" w:firstLine="482"/>
        <w:pageBreakBefore w:val="0"/>
        <w:spacing w:line="420" w:lineRule="exact"/>
        <w:widowControl w:val="off"/>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1.本项目对采购本国产品给予政策支持，具体内容见招标文件“第五章 评标方法与评标标准”。</w:t>
      </w:r>
      <w:r/>
    </w:p>
    <w:p>
      <w:pPr>
        <w:ind w:left="0" w:firstLine="482"/>
        <w:pageBreakBefore w:val="0"/>
        <w:spacing w:line="420" w:lineRule="exact"/>
        <w:widowControl w:val="off"/>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420" w:lineRule="exact"/>
        <w:widowControl w:val="off"/>
        <w:rPr>
          <w:rFonts w:hint="eastAsia" w:ascii="宋体" w:hAnsi="宋体" w:eastAsia="宋体" w:cs="宋体"/>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420" w:lineRule="exact"/>
        <w:widowControl w:val="off"/>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4472c4" w:themeColor="accent5"/>
          <w:sz w:val="24"/>
          <w:szCs w:val="24"/>
          <w:highlight w:val="none"/>
          <w:u w:val="single"/>
          <w:lang w:val="en-US" w:eastAsia="zh-CN" w:bidi="ar-SA"/>
          <w14:textFill>
            <w14:solidFill>
              <w14:schemeClr w14:val="accent5"/>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2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6"/>
        <w:ind w:left="0" w:firstLine="480"/>
        <w:jc w:val="both"/>
        <w:pageBreakBefore w:val="0"/>
        <w:spacing w:beforeAutospacing="0" w:afterAutospacing="0"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w:t>
      </w:r>
      <w:r>
        <w:rPr>
          <w:rFonts w:hint="eastAsia" w:ascii="宋体" w:hAnsi="宋体" w:eastAsia="宋体" w:cs="宋体"/>
          <w:b/>
          <w:bCs/>
          <w:color w:val="4472c4" w:themeColor="accent5"/>
          <w:sz w:val="24"/>
          <w:szCs w:val="24"/>
          <w:highlight w:val="none"/>
          <w:u w:val="single"/>
          <w:lang w:val="en-US" w:eastAsia="zh-CN"/>
          <w14:textFill>
            <w14:solidFill>
              <w14:schemeClr w14:val="accent5"/>
            </w14:solidFill>
          </w14:textFill>
        </w:rPr>
        <w:t xml:space="preserve">预付款比例为：合同金额的30%</w:t>
      </w:r>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8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widowControl/>
        <w:rPr>
          <w:rFonts w:ascii="宋体" w:hAnsi="宋体" w:cs="宋体"/>
          <w:b/>
          <w:sz w:val="48"/>
          <w:szCs w:val="44"/>
          <w:highlight w:val="none"/>
        </w:rPr>
      </w:pPr>
      <w:r/>
      <w:bookmarkStart w:id="171" w:name="_Toc479757211"/>
      <w:r/>
      <w:bookmarkStart w:id="172" w:name="_Toc462564139"/>
      <w:r/>
      <w:bookmarkStart w:id="173" w:name="_Toc16938590"/>
      <w:r/>
      <w:bookmarkStart w:id="174" w:name="_Toc120614244"/>
      <w:r/>
      <w:bookmarkStart w:id="175" w:name="_Hlt16619350"/>
      <w:r/>
      <w:bookmarkStart w:id="176" w:name="_Toc20823346"/>
      <w:r/>
      <w:bookmarkStart w:id="177" w:name="_Hlt16619369"/>
      <w:r>
        <w:rPr>
          <w:sz w:val="36"/>
          <w:szCs w:val="44"/>
          <w:highlight w:val="none"/>
        </w:rPr>
        <w:t xml:space="preserve"> </w:t>
      </w: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78" w:name="EB6d2006462e294de090c16e672cecc3bd"/>
      <w:r/>
      <w:bookmarkEnd w:id="178"/>
      <w:r/>
    </w:p>
    <w:p>
      <w:pPr>
        <w:jc w:val="center"/>
        <w:rPr>
          <w:rFonts w:ascii="宋体" w:hAnsi="宋体" w:cs="宋体"/>
          <w:b/>
          <w:bCs/>
          <w:spacing w:val="-20"/>
          <w:sz w:val="48"/>
          <w:szCs w:val="48"/>
          <w:highlight w:val="none"/>
        </w:rPr>
      </w:pPr>
      <w:r/>
      <w:bookmarkStart w:id="179"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79"/>
      <w:r/>
    </w:p>
    <w:p>
      <w:pPr>
        <w:jc w:val="center"/>
        <w:keepLines/>
        <w:keepNext/>
        <w:spacing w:line="400" w:lineRule="exact"/>
        <w:rPr>
          <w:rFonts w:ascii="黑体" w:hAnsi="华文中宋" w:eastAsia="黑体"/>
          <w:sz w:val="28"/>
          <w:szCs w:val="28"/>
          <w:highlight w:val="none"/>
        </w:rPr>
        <w:outlineLvl w:val="1"/>
      </w:pPr>
      <w:r/>
      <w:bookmarkStart w:id="180"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80"/>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u w:val="single"/>
          <w:lang w:val="en-US" w:eastAsia="zh-CN"/>
        </w:rPr>
      </w:pPr>
      <w:r>
        <w:rPr>
          <w:rFonts w:hint="eastAsia" w:ascii="宋体" w:hAnsi="宋体"/>
          <w:sz w:val="24"/>
          <w:highlight w:val="none"/>
        </w:rPr>
        <w:t xml:space="preserve">甲方（全称）：</w:t>
      </w:r>
      <w:r>
        <w:rPr>
          <w:rFonts w:hint="eastAsia" w:ascii="宋体" w:hAnsi="宋体"/>
          <w:sz w:val="24"/>
          <w:highlight w:val="none"/>
          <w:u w:val="single"/>
          <w:lang w:val="en-US" w:eastAsia="zh-CN"/>
        </w:rPr>
        <w:t xml:space="preserve">东台市公安局</w:t>
      </w:r>
      <w:r/>
    </w:p>
    <w:p>
      <w:pPr>
        <w:spacing w:line="360" w:lineRule="auto"/>
        <w:rPr>
          <w:rFonts w:hint="default" w:ascii="宋体" w:hAnsi="宋体" w:eastAsiaTheme="minorEastAsia"/>
          <w:sz w:val="24"/>
          <w:highlight w:val="none"/>
          <w:u w:val="single"/>
          <w:lang w:val="en-US" w:eastAsia="zh-CN"/>
        </w:rPr>
      </w:pPr>
      <w:r>
        <w:rPr>
          <w:rFonts w:hint="eastAsia" w:ascii="宋体" w:hAnsi="宋体"/>
          <w:sz w:val="24"/>
          <w:highlight w:val="none"/>
        </w:rPr>
        <w:t xml:space="preserve">乙方（全称）：</w:t>
      </w:r>
      <w:r>
        <w:rPr>
          <w:rFonts w:hint="eastAsia" w:ascii="宋体" w:hAnsi="宋体"/>
          <w:sz w:val="24"/>
          <w:highlight w:val="none"/>
          <w:u w:val="single"/>
          <w:lang w:val="en-US" w:eastAsia="zh-CN"/>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rPr>
          <w:rFonts w:hint="eastAsia" w:ascii="宋体" w:hAnsi="宋体"/>
          <w:sz w:val="24"/>
          <w:highlight w:val="none"/>
          <w:u w:val="single"/>
        </w:rPr>
        <w:t xml:space="preserve">东台市海防监控点位建设项目</w:t>
      </w:r>
      <w:r/>
    </w:p>
    <w:p>
      <w:pPr>
        <w:numPr>
          <w:ilvl w:val="255"/>
          <w:numId w:val="0"/>
        </w:numPr>
        <w:spacing w:line="360" w:lineRule="auto"/>
        <w:tabs>
          <w:tab w:val="left" w:pos="999" w:leader="none"/>
        </w:tabs>
        <w:rPr>
          <w:rFonts w:hint="default" w:ascii="宋体" w:hAnsi="宋体" w:eastAsiaTheme="minorEastAsia"/>
          <w:sz w:val="24"/>
          <w:highlight w:val="none"/>
          <w:u w:val="single"/>
          <w:lang w:val="en-US" w:eastAsia="zh-CN"/>
        </w:rPr>
      </w:pPr>
      <w:r>
        <w:rPr>
          <w:rFonts w:hint="eastAsia" w:ascii="宋体" w:hAnsi="宋体"/>
          <w:sz w:val="24"/>
          <w:highlight w:val="none"/>
        </w:rPr>
        <w:t xml:space="preserve">         采购项目编号：</w:t>
      </w:r>
      <w:r>
        <w:rPr>
          <w:rFonts w:hint="eastAsia" w:ascii="宋体" w:hAnsi="宋体"/>
          <w:sz w:val="24"/>
          <w:highlight w:val="none"/>
          <w:u w:val="single"/>
          <w:lang w:val="en-US" w:eastAsia="zh-CN"/>
        </w:rPr>
        <w:t xml:space="preserve">                          </w:t>
      </w:r>
      <w:r/>
    </w:p>
    <w:p>
      <w:pPr>
        <w:ind w:firstLine="480"/>
        <w:spacing w:line="360" w:lineRule="auto"/>
        <w:rPr>
          <w:rFonts w:hint="eastAsia" w:ascii="宋体" w:hAnsi="宋体" w:eastAsiaTheme="minorEastAsia"/>
          <w:sz w:val="24"/>
          <w:highlight w:val="none"/>
          <w:lang w:val="en-US" w:eastAsia="zh-CN"/>
        </w:rPr>
      </w:pPr>
      <w:r>
        <w:rPr>
          <w:rFonts w:hint="eastAsia" w:ascii="宋体" w:hAnsi="宋体"/>
          <w:sz w:val="24"/>
          <w:highlight w:val="none"/>
        </w:rPr>
        <w:t xml:space="preserve">（2）采购计划编号：</w:t>
      </w:r>
      <w:r>
        <w:rPr>
          <w:rFonts w:hint="eastAsia" w:ascii="宋体" w:hAnsi="宋体"/>
          <w:sz w:val="24"/>
          <w:highlight w:val="none"/>
          <w:lang w:val="en-US" w:eastAsia="zh-CN"/>
        </w:rPr>
        <w:t xml:space="preserve">/</w:t>
      </w:r>
      <w:r/>
    </w:p>
    <w:p>
      <w:pPr>
        <w:ind w:firstLine="480"/>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（3）项目内容：完成我市海防监控点位建设项目</w:t>
      </w:r>
      <w:r>
        <w:rPr>
          <w:rFonts w:hint="eastAsia" w:ascii="宋体" w:hAnsi="宋体"/>
          <w:sz w:val="24"/>
          <w:highlight w:val="none"/>
          <w:lang w:eastAsia="zh-CN"/>
        </w:rPr>
        <w:t xml:space="preserve">的</w:t>
      </w:r>
      <w:r>
        <w:rPr>
          <w:rFonts w:hint="eastAsia" w:ascii="宋体" w:hAnsi="宋体"/>
          <w:sz w:val="24"/>
          <w:highlight w:val="none"/>
          <w:lang w:val="en-US" w:eastAsia="zh-CN"/>
        </w:rPr>
        <w:t xml:space="preserve">供货及安装调试，并按招标文件要求提供相关服务，确保满足招标文件的要求和招标人的实际使用需求，详见附件。</w:t>
      </w:r>
      <w:r/>
    </w:p>
    <w:tbl>
      <w:tblPr>
        <w:tblStyle w:val="662"/>
        <w:tblW w:w="50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5"/>
        <w:gridCol w:w="653"/>
        <w:gridCol w:w="2447"/>
        <w:gridCol w:w="1083"/>
        <w:gridCol w:w="570"/>
        <w:gridCol w:w="1208"/>
        <w:gridCol w:w="961"/>
        <w:gridCol w:w="1029"/>
      </w:tblGrid>
      <w:tr>
        <w:trPr>
          <w:trHeight w:val="643"/>
        </w:trPr>
        <w:tc>
          <w:tcPr>
            <w:tcW w:w="226" w:type="pct"/>
            <w:vAlign w:val="center"/>
            <w:textDirection w:val="lrTb"/>
            <w:noWrap w:val="false"/>
          </w:tcPr>
          <w:p>
            <w:pPr>
              <w:pStyle w:val="851"/>
              <w:rPr>
                <w:b/>
              </w:rPr>
            </w:pPr>
            <w:r>
              <w:rPr>
                <w:rFonts w:hint="eastAsia"/>
                <w:b/>
              </w:rPr>
              <w:t xml:space="preserve">序号</w:t>
            </w:r>
            <w:r/>
          </w:p>
        </w:tc>
        <w:tc>
          <w:tcPr>
            <w:tcW w:w="392" w:type="pct"/>
            <w:vAlign w:val="center"/>
            <w:textDirection w:val="lrTb"/>
            <w:noWrap w:val="false"/>
          </w:tcPr>
          <w:p>
            <w:pPr>
              <w:pStyle w:val="851"/>
              <w:rPr>
                <w:b/>
              </w:rPr>
            </w:pPr>
            <w:r>
              <w:rPr>
                <w:rFonts w:hint="eastAsia"/>
                <w:b/>
              </w:rPr>
              <w:t xml:space="preserve">名称</w:t>
            </w:r>
            <w:r/>
          </w:p>
        </w:tc>
        <w:tc>
          <w:tcPr>
            <w:tcW w:w="1469" w:type="pct"/>
            <w:vAlign w:val="center"/>
            <w:textDirection w:val="lrTb"/>
            <w:noWrap w:val="false"/>
          </w:tcPr>
          <w:p>
            <w:pPr>
              <w:pStyle w:val="851"/>
              <w:rPr>
                <w:b/>
              </w:rPr>
            </w:pPr>
            <w:r>
              <w:rPr>
                <w:rFonts w:hint="eastAsia"/>
                <w:b/>
              </w:rPr>
              <w:t xml:space="preserve">主要规格描述</w:t>
            </w:r>
            <w:r/>
          </w:p>
        </w:tc>
        <w:tc>
          <w:tcPr>
            <w:tcW w:w="650" w:type="pct"/>
            <w:vAlign w:val="center"/>
            <w:textDirection w:val="lrTb"/>
            <w:noWrap w:val="false"/>
          </w:tcPr>
          <w:p>
            <w:pPr>
              <w:pStyle w:val="851"/>
              <w:rPr>
                <w:b/>
              </w:rPr>
            </w:pPr>
            <w:r>
              <w:rPr>
                <w:rFonts w:hint="eastAsia"/>
                <w:b/>
              </w:rPr>
              <w:t xml:space="preserve">单位</w:t>
            </w:r>
            <w:r/>
          </w:p>
        </w:tc>
        <w:tc>
          <w:tcPr>
            <w:tcW w:w="342" w:type="pct"/>
            <w:vAlign w:val="center"/>
            <w:textDirection w:val="lrTb"/>
            <w:noWrap w:val="false"/>
          </w:tcPr>
          <w:p>
            <w:pPr>
              <w:pStyle w:val="851"/>
              <w:rPr>
                <w:b/>
              </w:rPr>
            </w:pPr>
            <w:r>
              <w:rPr>
                <w:rFonts w:hint="eastAsia"/>
                <w:b/>
              </w:rPr>
              <w:t xml:space="preserve">数量</w:t>
            </w:r>
            <w:r/>
          </w:p>
        </w:tc>
        <w:tc>
          <w:tcPr>
            <w:tcW w:w="725" w:type="pct"/>
            <w:vAlign w:val="center"/>
            <w:textDirection w:val="lrTb"/>
            <w:noWrap w:val="false"/>
          </w:tcPr>
          <w:p>
            <w:pPr>
              <w:pStyle w:val="851"/>
              <w:rPr>
                <w:rFonts w:hint="eastAsia"/>
                <w:b/>
              </w:rPr>
            </w:pPr>
            <w:r>
              <w:rPr>
                <w:rFonts w:hint="eastAsia"/>
                <w:b/>
              </w:rPr>
              <w:t xml:space="preserve">品牌及</w:t>
            </w:r>
            <w:r/>
          </w:p>
          <w:p>
            <w:pPr>
              <w:pStyle w:val="851"/>
              <w:rPr>
                <w:b/>
              </w:rPr>
            </w:pPr>
            <w:r>
              <w:rPr>
                <w:rFonts w:hint="eastAsia"/>
                <w:b/>
              </w:rPr>
              <w:t xml:space="preserve">型号</w:t>
            </w:r>
            <w:r/>
          </w:p>
        </w:tc>
        <w:tc>
          <w:tcPr>
            <w:tcW w:w="577" w:type="pct"/>
            <w:vAlign w:val="center"/>
            <w:textDirection w:val="lrTb"/>
            <w:noWrap w:val="false"/>
          </w:tcPr>
          <w:p>
            <w:pPr>
              <w:pStyle w:val="851"/>
              <w:rPr>
                <w:b/>
              </w:rPr>
            </w:pPr>
            <w:r>
              <w:rPr>
                <w:rFonts w:hint="eastAsia"/>
                <w:b/>
              </w:rPr>
              <w:t xml:space="preserve">单价（元）</w:t>
            </w:r>
            <w:r/>
          </w:p>
        </w:tc>
        <w:tc>
          <w:tcPr>
            <w:tcW w:w="616" w:type="pct"/>
            <w:vAlign w:val="center"/>
            <w:textDirection w:val="lrTb"/>
            <w:noWrap w:val="false"/>
          </w:tcPr>
          <w:p>
            <w:pPr>
              <w:pStyle w:val="851"/>
              <w:rPr>
                <w:rFonts w:hint="eastAsia"/>
                <w:b/>
              </w:rPr>
            </w:pPr>
            <w:r>
              <w:rPr>
                <w:rFonts w:hint="eastAsia"/>
                <w:b/>
              </w:rPr>
              <w:t xml:space="preserve">合价</w:t>
            </w:r>
            <w:r/>
          </w:p>
          <w:p>
            <w:pPr>
              <w:pStyle w:val="851"/>
              <w:rPr>
                <w:b/>
              </w:rPr>
            </w:pPr>
            <w:r>
              <w:rPr>
                <w:rFonts w:hint="eastAsia"/>
                <w:b/>
              </w:rPr>
              <w:t xml:space="preserve">（元）</w:t>
            </w:r>
            <w:r/>
          </w:p>
        </w:tc>
      </w:tr>
      <w:tr>
        <w:trPr>
          <w:trHeight w:val="371"/>
        </w:trPr>
        <w:tc>
          <w:tcPr>
            <w:tcW w:w="226" w:type="pct"/>
            <w:vAlign w:val="center"/>
            <w:textDirection w:val="lrTb"/>
            <w:noWrap w:val="false"/>
          </w:tcPr>
          <w:p>
            <w:pPr>
              <w:pStyle w:val="851"/>
            </w:pPr>
            <w:r>
              <w:rPr>
                <w:rFonts w:hint="eastAsia"/>
              </w:rPr>
              <w:t xml:space="preserve">1</w:t>
            </w:r>
            <w:r/>
          </w:p>
        </w:tc>
        <w:tc>
          <w:tcPr>
            <w:tcW w:w="392" w:type="pct"/>
            <w:vAlign w:val="center"/>
            <w:textDirection w:val="lrTb"/>
            <w:noWrap w:val="false"/>
          </w:tcPr>
          <w:p>
            <w:pPr>
              <w:pStyle w:val="851"/>
            </w:pPr>
            <w:r/>
            <w:r/>
          </w:p>
        </w:tc>
        <w:tc>
          <w:tcPr>
            <w:tcW w:w="1469" w:type="pct"/>
            <w:vAlign w:val="center"/>
            <w:textDirection w:val="lrTb"/>
            <w:noWrap w:val="false"/>
          </w:tcPr>
          <w:p>
            <w:pPr>
              <w:pStyle w:val="851"/>
            </w:pPr>
            <w:r/>
            <w:r/>
          </w:p>
        </w:tc>
        <w:tc>
          <w:tcPr>
            <w:tcW w:w="650" w:type="pct"/>
            <w:vAlign w:val="center"/>
            <w:textDirection w:val="lrTb"/>
            <w:noWrap w:val="false"/>
          </w:tcPr>
          <w:p>
            <w:pPr>
              <w:pStyle w:val="851"/>
            </w:pPr>
            <w:r/>
            <w:r/>
          </w:p>
        </w:tc>
        <w:tc>
          <w:tcPr>
            <w:tcW w:w="342" w:type="pct"/>
            <w:vAlign w:val="center"/>
            <w:textDirection w:val="lrTb"/>
            <w:noWrap w:val="false"/>
          </w:tcPr>
          <w:p>
            <w:pPr>
              <w:pStyle w:val="851"/>
            </w:pPr>
            <w:r/>
            <w:r/>
          </w:p>
        </w:tc>
        <w:tc>
          <w:tcPr>
            <w:tcW w:w="725" w:type="pct"/>
            <w:vAlign w:val="center"/>
            <w:textDirection w:val="lrTb"/>
            <w:noWrap w:val="false"/>
          </w:tcPr>
          <w:p>
            <w:pPr>
              <w:pStyle w:val="851"/>
            </w:pPr>
            <w:r/>
            <w:r/>
          </w:p>
        </w:tc>
        <w:tc>
          <w:tcPr>
            <w:tcW w:w="577" w:type="pct"/>
            <w:vAlign w:val="center"/>
            <w:textDirection w:val="lrTb"/>
            <w:noWrap w:val="false"/>
          </w:tcPr>
          <w:p>
            <w:pPr>
              <w:pStyle w:val="851"/>
            </w:pPr>
            <w:r/>
            <w:r/>
          </w:p>
        </w:tc>
        <w:tc>
          <w:tcPr>
            <w:tcW w:w="616" w:type="pct"/>
            <w:vAlign w:val="center"/>
            <w:textDirection w:val="lrTb"/>
            <w:noWrap w:val="false"/>
          </w:tcPr>
          <w:p>
            <w:pPr>
              <w:pStyle w:val="851"/>
            </w:pPr>
            <w:r/>
            <w:r/>
          </w:p>
        </w:tc>
      </w:tr>
      <w:tr>
        <w:trPr>
          <w:trHeight w:val="503"/>
        </w:trPr>
        <w:tc>
          <w:tcPr>
            <w:gridSpan w:val="2"/>
            <w:tcW w:w="618" w:type="pct"/>
            <w:vAlign w:val="center"/>
            <w:textDirection w:val="lrTb"/>
            <w:noWrap w:val="false"/>
          </w:tcPr>
          <w:p>
            <w:pPr>
              <w:pStyle w:val="851"/>
            </w:pPr>
            <w:r>
              <w:rPr>
                <w:rFonts w:hint="eastAsia"/>
              </w:rPr>
              <w:t xml:space="preserve">总价</w:t>
            </w:r>
            <w:r/>
          </w:p>
        </w:tc>
        <w:tc>
          <w:tcPr>
            <w:gridSpan w:val="6"/>
            <w:tcW w:w="4381" w:type="pct"/>
            <w:vAlign w:val="center"/>
            <w:textDirection w:val="lrTb"/>
            <w:noWrap w:val="false"/>
          </w:tcPr>
          <w:p>
            <w:pPr>
              <w:pStyle w:val="851"/>
            </w:pPr>
            <w:r>
              <w:rPr>
                <w:rFonts w:hint="eastAsia"/>
              </w:rPr>
              <w:t xml:space="preserve">大写： </w:t>
            </w:r>
            <w:r>
              <w:t xml:space="preserve">             </w:t>
            </w:r>
            <w:r>
              <w:rPr>
                <w:rFonts w:hint="eastAsia"/>
              </w:rPr>
              <w:t xml:space="preserve">（小写：￥ </w:t>
            </w:r>
            <w:r>
              <w:t xml:space="preserve">      </w:t>
            </w:r>
            <w:r>
              <w:rPr>
                <w:rFonts w:hint="eastAsia"/>
              </w:rPr>
              <w:t xml:space="preserve">元）</w:t>
            </w:r>
            <w:r/>
          </w:p>
        </w:tc>
      </w:tr>
    </w:tbl>
    <w:p>
      <w:pPr>
        <w:numPr>
          <w:ilvl w:val="255"/>
          <w:numId w:val="0"/>
        </w:numPr>
        <w:jc w:val="left"/>
        <w:spacing w:line="360" w:lineRule="auto"/>
        <w:widowControl/>
        <w:rPr>
          <w:rFonts w:hint="eastAsia" w:ascii="宋体" w:hAnsi="宋体"/>
          <w:sz w:val="24"/>
          <w:highlight w:val="none"/>
        </w:rPr>
      </w:pPr>
      <w:r>
        <w:rPr>
          <w:rFonts w:hint="eastAsia" w:ascii="宋体" w:hAnsi="宋体" w:cs="宋体"/>
          <w:sz w:val="24"/>
          <w:highlight w:val="none"/>
        </w:rPr>
        <w:t xml:space="preserve">注：</w:t>
      </w:r>
      <w:r>
        <w:rPr>
          <w:rFonts w:hint="eastAsia" w:ascii="宋体" w:hAnsi="宋体"/>
          <w:sz w:val="24"/>
          <w:highlight w:val="none"/>
        </w:rPr>
        <w:t xml:space="preserve">1）报价除标的物的价款外还应包括（但不限于）标的物、采购、包装、运输、验收、售后服务、货物（含附配件）的价格、安装调试、包装费、运输费、装卸费、保险费、验收费、与各类系统对接、设备接入兼容所需的费用、技术服务费、检测费、售后服务费、保险、招标代理费、规费、税费等全部费用。</w:t>
      </w:r>
      <w:r/>
    </w:p>
    <w:p>
      <w:pPr>
        <w:ind w:firstLine="480"/>
        <w:spacing w:line="360" w:lineRule="auto"/>
        <w:rPr>
          <w:rFonts w:hint="eastAsia" w:ascii="宋体" w:hAnsi="宋体"/>
          <w:sz w:val="24"/>
          <w:highlight w:val="none"/>
        </w:rPr>
      </w:pPr>
      <w:r>
        <w:rPr>
          <w:rFonts w:hint="eastAsia" w:ascii="宋体" w:hAnsi="宋体"/>
          <w:sz w:val="24"/>
          <w:highlight w:val="none"/>
        </w:rPr>
        <w:t xml:space="preserve">2）除清单中明确总价包干的项以外，其他项采用按实结算方式，综合单价不论在何种情况下一律不予调整，供货时按实际供货并通过验收的数量结算。结算价=Σ中标综合单价*实际供货并通过验收的数量。</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sz w:val="24"/>
          <w:highlight w:val="none"/>
        </w:rPr>
        <w:t xml:space="preserve">   （</w:t>
      </w:r>
      <w:r>
        <w:rPr>
          <w:rFonts w:ascii="宋体" w:hAnsi="宋体" w:cs="宋体"/>
          <w:sz w:val="24"/>
          <w:highlight w:val="none"/>
        </w:rPr>
        <w:t xml:space="preserve">4</w:t>
      </w:r>
      <w:r>
        <w:rPr>
          <w:rFonts w:hint="eastAsia" w:ascii="宋体" w:hAnsi="宋体" w:cs="宋体"/>
          <w:sz w:val="24"/>
          <w:highlight w:val="none"/>
        </w:rPr>
        <w:t xml:space="preserve">）政府采购组织形</w:t>
      </w:r>
      <w:r>
        <w:rPr>
          <w:rFonts w:hint="eastAsia" w:ascii="宋体" w:hAnsi="宋体" w:cs="宋体"/>
          <w:color w:val="auto"/>
          <w:sz w:val="24"/>
          <w:highlight w:val="none"/>
        </w:rPr>
        <w:t xml:space="preserve">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b/>
          <w:bCs/>
          <w:color w:val="auto"/>
          <w:sz w:val="24"/>
          <w:highlight w:val="none"/>
        </w:rPr>
        <w:t xml:space="preserve">þ</w:t>
      </w:r>
      <w:r>
        <w:rPr>
          <w:rFonts w:hint="eastAsia" w:ascii="Wingdings" w:hAnsi="Wingdings" w:eastAsia="Wingdings" w:cs="Wingdings"/>
          <w:b/>
          <w:bCs/>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b/>
          <w:bCs/>
          <w:color w:val="auto"/>
          <w:sz w:val="24"/>
          <w:highlight w:val="none"/>
        </w:rPr>
        <w:t xml:space="preserve">þ</w:t>
      </w:r>
      <w:r>
        <w:rPr>
          <w:rFonts w:hint="eastAsia" w:ascii="宋体" w:hAnsi="宋体" w:cs="宋体"/>
          <w:b/>
          <w:bCs/>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hint="eastAsia" w:ascii="宋体" w:hAnsi="宋体"/>
          <w:b/>
          <w:bCs/>
          <w:color w:val="auto"/>
          <w:sz w:val="24"/>
          <w:highlight w:val="none"/>
          <w:u w:val="single"/>
        </w:rPr>
        <w:t xml:space="preserve">（以成交情况为准）</w:t>
      </w:r>
      <w:r/>
    </w:p>
    <w:p>
      <w:pPr>
        <w:numPr>
          <w:ilvl w:val="255"/>
          <w:numId w:val="0"/>
        </w:numPr>
        <w:spacing w:line="360" w:lineRule="auto"/>
        <w:rPr>
          <w:rFonts w:hint="eastAsia" w:ascii="宋体" w:hAnsi="宋体" w:eastAsiaTheme="minorEastAsia"/>
          <w:b/>
          <w:bCs/>
          <w:color w:val="auto"/>
          <w:sz w:val="24"/>
          <w:highlight w:val="none"/>
          <w:u w:val="single"/>
          <w:lang w:val="en-US" w:eastAsia="zh-CN"/>
        </w:rPr>
      </w:pPr>
      <w:r>
        <w:rPr>
          <w:rFonts w:hint="eastAsia" w:ascii="宋体" w:hAnsi="宋体"/>
          <w:color w:val="auto"/>
          <w:sz w:val="24"/>
          <w:highlight w:val="none"/>
        </w:rPr>
        <w:t xml:space="preserve">   本合同是否为专门面向中小企业的采购合同（中小企业预留合同）：</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numPr>
          <w:ilvl w:val="255"/>
          <w:numId w:val="0"/>
        </w:numPr>
        <w:spacing w:line="360" w:lineRule="auto"/>
        <w:rPr>
          <w:rFonts w:hint="eastAsia" w:ascii="宋体" w:hAnsi="宋体"/>
          <w:b/>
          <w:bCs/>
          <w:color w:val="auto"/>
          <w:sz w:val="24"/>
          <w:highlight w:val="none"/>
          <w:u w:val="single"/>
          <w:lang w:val="en-US" w:eastAsia="zh-CN"/>
        </w:rPr>
      </w:pPr>
      <w:r>
        <w:rPr>
          <w:rFonts w:hint="eastAsia"/>
          <w:color w:val="auto"/>
          <w:sz w:val="24"/>
          <w:highlight w:val="none"/>
        </w:rPr>
        <w:t xml:space="preserve">   若本项目不专门面向中小企业采购，是否给予小微企业评审优惠：</w:t>
      </w:r>
      <w:r>
        <w:rPr>
          <w:rFonts w:hint="eastAsia" w:ascii="宋体" w:hAnsi="宋体"/>
          <w:b/>
          <w:bCs/>
          <w:color w:val="auto"/>
          <w:sz w:val="24"/>
          <w:highlight w:val="none"/>
          <w:u w:val="single"/>
        </w:rPr>
        <w:t xml:space="preserve">是</w:t>
      </w:r>
      <w:r>
        <w:rPr>
          <w:rFonts w:hint="eastAsia" w:ascii="宋体" w:hAnsi="宋体"/>
          <w:b/>
          <w:bCs/>
          <w:color w:val="auto"/>
          <w:sz w:val="24"/>
          <w:highlight w:val="none"/>
          <w:u w:val="single"/>
          <w:lang w:val="en-US" w:eastAsia="zh-CN"/>
        </w:rPr>
        <w:t xml:space="preserve"> </w:t>
      </w:r>
      <w:r/>
    </w:p>
    <w:p>
      <w:pPr>
        <w:numPr>
          <w:ilvl w:val="255"/>
          <w:numId w:val="0"/>
        </w:numPr>
        <w:spacing w:line="360" w:lineRule="auto"/>
        <w:rPr>
          <w:rFonts w:hint="eastAsia" w:ascii="宋体" w:hAnsi="宋体" w:eastAsiaTheme="minorEastAsia"/>
          <w:iCs/>
          <w:color w:val="auto"/>
          <w:sz w:val="24"/>
          <w:highlight w:val="none"/>
          <w:lang w:eastAsia="zh-CN"/>
        </w:rPr>
      </w:pPr>
      <w:r>
        <w:rPr>
          <w:rFonts w:hint="eastAsia"/>
          <w:color w:val="auto"/>
          <w:sz w:val="24"/>
          <w:highlight w:val="none"/>
        </w:rPr>
        <w:t xml:space="preserve">   中标（成交）采购标的制造商是否为残疾人福利性单位</w:t>
      </w:r>
      <w:r>
        <w:rPr>
          <w:rFonts w:hint="eastAsia"/>
          <w:color w:val="auto"/>
          <w:sz w:val="24"/>
          <w:highlight w:val="none"/>
          <w:lang w:eastAsia="zh-CN"/>
        </w:rPr>
        <w:t xml:space="preserve">：</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ind w:firstLine="480"/>
        <w:jc w:val="left"/>
        <w:spacing w:line="360" w:lineRule="auto"/>
        <w:widowControl/>
        <w:tabs>
          <w:tab w:val="left" w:pos="1340" w:leader="none"/>
        </w:tabs>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rPr>
          <w:rFonts w:hint="eastAsia" w:ascii="宋体" w:hAnsi="宋体"/>
          <w:b/>
          <w:bCs/>
          <w:color w:val="auto"/>
          <w:sz w:val="24"/>
          <w:highlight w:val="none"/>
          <w:u w:val="single"/>
        </w:rPr>
        <w:t xml:space="preserve"> </w:t>
      </w:r>
      <w:r>
        <w:rPr>
          <w:rFonts w:hint="eastAsia" w:ascii="宋体" w:hAnsi="宋体"/>
          <w:b/>
          <w:bCs/>
          <w:color w:val="auto"/>
          <w:sz w:val="24"/>
          <w:highlight w:val="none"/>
          <w:u w:val="single"/>
          <w:lang w:val="en-US" w:eastAsia="zh-CN"/>
        </w:rPr>
        <w:t xml:space="preserve">不涉及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rPr>
          <w:rFonts w:hint="eastAsia" w:asciiTheme="minorEastAsia" w:hAnsiTheme="minorEastAsia"/>
          <w:szCs w:val="28"/>
          <w:u w:val="single"/>
        </w:rPr>
        <w:t xml:space="preserve"> </w:t>
      </w:r>
      <w:r>
        <w:rPr>
          <w:rFonts w:asciiTheme="minorEastAsia" w:hAnsiTheme="minorEastAsia"/>
          <w:szCs w:val="28"/>
          <w:u w:val="single"/>
        </w:rPr>
        <w:t xml:space="preserve">                       </w:t>
      </w:r>
      <w:r>
        <w:rPr>
          <w:rFonts w:hint="eastAsia" w:asciiTheme="minorEastAsia" w:hAnsiTheme="minorEastAsia"/>
          <w:szCs w:val="28"/>
          <w:u w:val="single"/>
          <w:lang w:val="en-US" w:eastAsia="zh-CN"/>
        </w:rPr>
        <w:t xml:space="preserve"> </w:t>
      </w:r>
      <w:r>
        <w:rPr>
          <w:rFonts w:asciiTheme="minorEastAsia" w:hAnsiTheme="minorEastAsia"/>
          <w:szCs w:val="28"/>
          <w:u w:val="single"/>
        </w:rPr>
        <w:t xml:space="preserve">                      </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rPr>
          <w:rFonts w:hint="eastAsia" w:asciiTheme="minorEastAsia" w:hAnsiTheme="minorEastAsia"/>
          <w:szCs w:val="28"/>
          <w:u w:val="single"/>
        </w:rPr>
        <w:t xml:space="preserve"> </w:t>
      </w:r>
      <w:r>
        <w:rPr>
          <w:rFonts w:asciiTheme="minorEastAsia" w:hAnsiTheme="minorEastAsia"/>
          <w:szCs w:val="28"/>
          <w:u w:val="single"/>
        </w:rPr>
        <w:t xml:space="preserve">       </w:t>
      </w:r>
      <w:r>
        <w:rPr>
          <w:rFonts w:hint="eastAsia" w:asciiTheme="minorEastAsia" w:hAnsiTheme="minorEastAsia"/>
          <w:szCs w:val="28"/>
          <w:u w:val="single"/>
          <w:lang w:val="en-US" w:eastAsia="zh-CN"/>
        </w:rPr>
        <w:t xml:space="preserve">               </w:t>
      </w:r>
      <w:r>
        <w:rPr>
          <w:rFonts w:asciiTheme="minorEastAsia" w:hAnsiTheme="minorEastAsia"/>
          <w:szCs w:val="28"/>
          <w:u w:val="single"/>
        </w:rPr>
        <w:t xml:space="preserve">                                      </w:t>
      </w:r>
      <w:r/>
    </w:p>
    <w:p>
      <w:pPr>
        <w:spacing w:line="360" w:lineRule="auto"/>
        <w:rPr>
          <w:rFonts w:ascii="宋体" w:hAnsi="宋体"/>
          <w:sz w:val="24"/>
          <w:highlight w:val="none"/>
        </w:rPr>
      </w:pPr>
      <w:r>
        <w:rPr>
          <w:rFonts w:hint="eastAsia" w:ascii="宋体" w:hAnsi="宋体"/>
          <w:sz w:val="24"/>
          <w:highlight w:val="none"/>
        </w:rPr>
        <w:t xml:space="preserve"> （2）付款方式：</w:t>
      </w:r>
      <w:r/>
    </w:p>
    <w:p>
      <w:pPr>
        <w:ind w:firstLine="720"/>
        <w:spacing w:line="400" w:lineRule="exact"/>
        <w:rPr>
          <w:rFonts w:hint="eastAsia" w:ascii="宋体" w:hAnsi="宋体" w:eastAsia="宋体" w:cs="宋体"/>
          <w:sz w:val="24"/>
          <w:szCs w:val="24"/>
          <w:highlight w:val="none"/>
          <w:u w:val="single"/>
          <w:lang w:val="en-US" w:eastAsia="zh-CN"/>
        </w:rPr>
      </w:pPr>
      <w:r>
        <w:rPr>
          <w:rFonts w:hint="eastAsia" w:ascii="宋体" w:hAnsi="宋体"/>
          <w:sz w:val="24"/>
          <w:highlight w:val="none"/>
        </w:rPr>
        <w:t xml:space="preserve">分期付款：</w:t>
      </w:r>
      <w:r>
        <w:rPr>
          <w:rFonts w:hint="eastAsia" w:ascii="宋体" w:hAnsi="宋体" w:eastAsia="宋体" w:cs="宋体"/>
          <w:sz w:val="24"/>
          <w:szCs w:val="24"/>
          <w:highlight w:val="none"/>
          <w:u w:val="single"/>
          <w:lang w:val="en-US" w:eastAsia="zh-CN"/>
        </w:rPr>
        <w:t xml:space="preserve">合同签订后采购人收到预付款发票后10个工作日内支付预付款，预付款支付比例：合同金额的30%。所有设备经安装调试并验收合格后支付合同金额的70%。正常运行12个月无质量问题并经审计确认后，付至审定价的90%。正常运行24个月无质量问题支付至审定价的97%，质保期满后无质量问题付清余款。注：⑴结算时，乙方必须提供乙方单位名称的正式发票。本合同执行中相关的一切税费均由乙方负担。⑵支付方式：银行转账。⑶以上付款均无息。结算时，乙方须提供税务发票。</w:t>
      </w:r>
      <w:r/>
    </w:p>
    <w:p>
      <w:pPr>
        <w:ind w:firstLine="720"/>
        <w:spacing w:line="400" w:lineRule="exact"/>
        <w:rPr>
          <w:rFonts w:hint="eastAsia"/>
          <w:sz w:val="24"/>
          <w:szCs w:val="32"/>
          <w:highlight w:val="none"/>
        </w:rPr>
      </w:pPr>
      <w:r>
        <w:rPr>
          <w:rFonts w:hint="eastAsia" w:ascii="宋体" w:hAnsi="宋体"/>
          <w:sz w:val="24"/>
          <w:szCs w:val="24"/>
          <w:highlight w:val="none"/>
        </w:rPr>
        <w:t xml:space="preserve">其中涉及预付款的：</w:t>
      </w:r>
      <w:r>
        <w:rPr>
          <w:rFonts w:hint="eastAsia" w:ascii="宋体" w:hAnsi="宋体"/>
          <w:sz w:val="24"/>
          <w:szCs w:val="24"/>
          <w:highlight w:val="none"/>
          <w:u w:val="single"/>
        </w:rPr>
        <w:t xml:space="preserve">预付款比例为：合同总价的30%</w:t>
      </w:r>
      <w:r>
        <w:rPr>
          <w:rFonts w:hint="eastAsia" w:ascii="宋体" w:hAnsi="宋体"/>
          <w:sz w:val="24"/>
          <w:szCs w:val="24"/>
          <w:highlight w:val="none"/>
          <w:u w:val="single"/>
          <w:lang w:eastAsia="zh-CN"/>
        </w:rPr>
        <w:t xml:space="preserve">（注：在签订合同时，供应商明确表示无需预付款或主动要求降低预付款比例的，采购人可不适用上述关于预付款方规定或可就预付款比例作相应调整）</w:t>
      </w:r>
      <w:r>
        <w:rPr>
          <w:rFonts w:hint="eastAsia" w:ascii="宋体" w:hAnsi="宋体"/>
          <w:sz w:val="24"/>
          <w:szCs w:val="24"/>
          <w:highlight w:val="none"/>
          <w:u w:val="single"/>
        </w:rPr>
        <w:t xml:space="preserve"> </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合同履行期限</w:t>
      </w:r>
      <w:r>
        <w:rPr>
          <w:rFonts w:hint="eastAsia" w:ascii="宋体" w:hAnsi="宋体" w:cs="宋体"/>
          <w:sz w:val="24"/>
          <w:highlight w:val="none"/>
        </w:rPr>
        <w:t xml:space="preserve">：</w:t>
      </w:r>
      <w:r>
        <w:rPr>
          <w:rFonts w:hint="eastAsia" w:ascii="宋体" w:hAnsi="宋体" w:cs="宋体"/>
          <w:b/>
          <w:bCs/>
          <w:color w:val="0000ff"/>
          <w:sz w:val="24"/>
          <w:highlight w:val="none"/>
          <w:u w:val="single"/>
        </w:rPr>
        <w:t xml:space="preserve">合同签订后</w:t>
      </w:r>
      <w:r>
        <w:rPr>
          <w:rFonts w:hint="eastAsia" w:ascii="宋体" w:hAnsi="宋体" w:cs="宋体"/>
          <w:b/>
          <w:bCs/>
          <w:color w:val="0000ff"/>
          <w:sz w:val="24"/>
          <w:highlight w:val="none"/>
          <w:u w:val="single"/>
          <w:lang w:eastAsia="zh-CN"/>
        </w:rPr>
        <w:t xml:space="preserve">90日历天</w:t>
      </w:r>
      <w:r>
        <w:rPr>
          <w:rFonts w:hint="eastAsia" w:ascii="宋体" w:hAnsi="宋体" w:cs="宋体"/>
          <w:b/>
          <w:bCs/>
          <w:color w:val="0000ff"/>
          <w:sz w:val="24"/>
          <w:highlight w:val="none"/>
          <w:u w:val="single"/>
        </w:rPr>
        <w:t xml:space="preserve">内货物全部送达招标人指定位置且安装、调试完毕，并确保正常稳定运行。</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
          <w:bCs/>
          <w:color w:val="0000ff"/>
          <w:sz w:val="24"/>
          <w:highlight w:val="none"/>
          <w:u w:val="single"/>
          <w:lang w:val="en-US" w:eastAsia="zh-CN"/>
        </w:rPr>
        <w:t xml:space="preserve">东台市境内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hint="default" w:ascii="宋体" w:hAnsi="宋体" w:cs="宋体" w:eastAsiaTheme="minorEastAsia"/>
          <w:sz w:val="24"/>
          <w:highlight w:val="none"/>
          <w:lang w:val="en-US" w:eastAsia="zh-CN"/>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hint="eastAsia" w:ascii="宋体" w:hAnsi="宋体" w:cs="宋体"/>
          <w:sz w:val="24"/>
          <w:highlight w:val="none"/>
          <w:lang w:eastAsia="zh-CN"/>
        </w:rPr>
        <w:t xml:space="preserve">：</w:t>
      </w:r>
      <w:r>
        <w:rPr>
          <w:rFonts w:hint="eastAsia" w:ascii="宋体" w:hAnsi="宋体" w:cs="宋体"/>
          <w:b/>
          <w:bCs/>
          <w:color w:val="0000ff"/>
          <w:sz w:val="24"/>
          <w:highlight w:val="none"/>
          <w:u w:val="single"/>
          <w:lang w:val="en-US" w:eastAsia="zh-CN"/>
        </w:rPr>
        <w:t xml:space="preserve">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由乙方在合同签订时向甲方提交，允许乙方自主选择以支票、汇票、本票或者金融机构、担保机构出具的保函等非现金形式提交履约保证金，保证金服务期结束并移交全部资料后退还（无息）；如发现虚假应标行为，履约保证金不予退还，乙方须承担甲方因此所造成的项目延期及重新招标的损失。</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中标价的10%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担保至所供货物安装调试完毕并通过最终验收合格后无息退还</w:t>
      </w:r>
      <w:r>
        <w:rPr>
          <w:rFonts w:hint="eastAsia" w:ascii="宋体" w:hAnsi="宋体" w:cs="宋体"/>
          <w:bCs/>
          <w:sz w:val="24"/>
          <w:highlight w:val="none"/>
          <w:u w:val="single"/>
          <w:lang w:eastAsia="zh-CN"/>
        </w:rPr>
        <w:t xml:space="preserve">。</w:t>
      </w:r>
      <w:r>
        <w:rPr>
          <w:rFonts w:hint="eastAsia" w:ascii="宋体" w:hAnsi="宋体" w:cs="宋体"/>
          <w:bCs/>
          <w:sz w:val="24"/>
          <w:highlight w:val="none"/>
          <w:u w:val="single"/>
        </w:rPr>
        <w:t xml:space="preserve"> </w:t>
      </w:r>
      <w:r/>
    </w:p>
    <w:p>
      <w:pPr>
        <w:numPr>
          <w:ilvl w:val="0"/>
          <w:numId w:val="3"/>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如以履约保函（保险）形式缴纳履约保证金，乙方可通过政府采购电子履约保函（保险）平台（www.jsdzbh.com）在线申请履约保函（保险）。</w:t>
      </w:r>
      <w:r/>
    </w:p>
    <w:p>
      <w:pPr>
        <w:ind w:firstLine="480"/>
        <w:keepLines w:val="0"/>
        <w:keepNext w:val="0"/>
        <w:pageBreakBefore w:val="0"/>
        <w:spacing w:line="360" w:lineRule="auto"/>
        <w:widowControl w:val="off"/>
        <w:rPr>
          <w:rFonts w:ascii="宋体" w:hAnsi="宋体" w:cs="宋体"/>
          <w:highlight w:val="none"/>
        </w:rPr>
      </w:pPr>
      <w:r>
        <w:rPr>
          <w:rFonts w:hint="eastAsia" w:ascii="宋体" w:hAnsi="宋体" w:eastAsia="宋体" w:cs="宋体"/>
          <w:color w:val="4472c4" w:themeColor="accent5"/>
          <w:sz w:val="24"/>
          <w:szCs w:val="24"/>
          <w:highlight w:val="none"/>
          <w:lang w:val="en-US" w:eastAsia="zh-CN"/>
          <w14:textFill>
            <w14:solidFill>
              <w14:schemeClr w14:val="accent5"/>
            </w14:solidFill>
          </w14:textFill>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                       </w:t>
      </w:r>
      <w:r>
        <w:rPr>
          <w:rFonts w:hint="eastAsia" w:ascii="宋体" w:hAnsi="宋体" w:cs="宋体"/>
          <w:highlight w:val="none"/>
        </w:rPr>
        <w:t xml:space="preserve">      </w:t>
      </w:r>
      <w:r/>
    </w:p>
    <w:p>
      <w:pPr>
        <w:ind w:firstLine="480"/>
        <w:spacing w:line="360" w:lineRule="auto"/>
        <w:rPr>
          <w:rFonts w:hint="eastAsia" w:ascii="宋体" w:hAnsi="宋体" w:cs="宋体" w:eastAsiaTheme="minorEastAsia"/>
          <w:bCs/>
          <w:sz w:val="24"/>
          <w:highlight w:val="none"/>
          <w:lang w:val="en-US" w:eastAsia="zh-CN"/>
        </w:rPr>
      </w:pPr>
      <w:r>
        <w:rPr>
          <w:rFonts w:hint="eastAsia" w:ascii="宋体" w:hAnsi="宋体" w:cs="宋体"/>
          <w:bCs/>
          <w:sz w:val="24"/>
          <w:highlight w:val="none"/>
        </w:rPr>
        <w:t xml:space="preserve">（5）分期履行要求：</w:t>
      </w:r>
      <w:r>
        <w:rPr>
          <w:rFonts w:hint="eastAsia" w:ascii="宋体" w:hAnsi="宋体" w:cs="宋体"/>
          <w:bCs/>
          <w:sz w:val="24"/>
          <w:highlight w:val="none"/>
          <w:lang w:val="en-US" w:eastAsia="zh-CN"/>
        </w:rPr>
        <w:t xml:space="preserve">/</w:t>
      </w:r>
      <w:r/>
    </w:p>
    <w:p>
      <w:pPr>
        <w:ind w:firstLine="480"/>
        <w:spacing w:line="360" w:lineRule="auto"/>
        <w:rPr>
          <w:rFonts w:hint="eastAsia" w:ascii="宋体" w:hAnsi="宋体" w:cs="宋体" w:eastAsiaTheme="minorEastAsia"/>
          <w:sz w:val="24"/>
          <w:highlight w:val="none"/>
          <w:u w:val="single"/>
          <w:lang w:val="en-US" w:eastAsia="zh-CN"/>
        </w:rPr>
      </w:pPr>
      <w:r>
        <w:rPr>
          <w:rFonts w:hint="eastAsia" w:ascii="宋体" w:hAnsi="宋体" w:cs="宋体"/>
          <w:bCs/>
          <w:sz w:val="24"/>
          <w:highlight w:val="none"/>
        </w:rPr>
        <w:t xml:space="preserve">（6）风险处置措施和替代方案：</w:t>
      </w:r>
      <w:r>
        <w:rPr>
          <w:rFonts w:hint="eastAsia" w:ascii="宋体" w:hAnsi="宋体" w:cs="宋体"/>
          <w:bCs/>
          <w:sz w:val="24"/>
          <w:highlight w:val="none"/>
          <w:lang w:val="en-US" w:eastAsia="zh-CN"/>
        </w:rPr>
        <w:t xml:space="preserve">/</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4"/>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hint="eastAsia" w:asciiTheme="minorEastAsia" w:hAnsiTheme="minorEastAsia"/>
          <w:b/>
          <w:bCs w:val="0"/>
          <w:color w:val="0070c0"/>
          <w:szCs w:val="28"/>
          <w:u w:val="single"/>
          <w:lang w:eastAsia="zh-CN"/>
        </w:rPr>
      </w:pPr>
      <w:r>
        <w:rPr>
          <w:rFonts w:hint="eastAsia" w:ascii="宋体" w:hAnsi="宋体"/>
          <w:bCs/>
          <w:sz w:val="24"/>
          <w:highlight w:val="none"/>
        </w:rPr>
        <w:t xml:space="preserve">（2）履约验收时间：</w:t>
      </w:r>
      <w:r>
        <w:rPr>
          <w:rFonts w:hint="eastAsia" w:asciiTheme="minorEastAsia" w:hAnsiTheme="minorEastAsia"/>
          <w:b/>
          <w:bCs w:val="0"/>
          <w:color w:val="0070c0"/>
          <w:szCs w:val="28"/>
          <w:u w:val="single"/>
        </w:rPr>
        <w:t xml:space="preserve">乙方提出书面验收申请之日起 </w:t>
      </w:r>
      <w:r>
        <w:rPr>
          <w:rFonts w:hint="eastAsia" w:eastAsia="宋体" w:asciiTheme="minorEastAsia" w:hAnsiTheme="minorEastAsia"/>
          <w:b/>
          <w:bCs w:val="0"/>
          <w:color w:val="0070c0"/>
          <w:szCs w:val="28"/>
          <w:u w:val="single"/>
          <w:lang w:val="en-US" w:eastAsia="zh-CN"/>
        </w:rPr>
        <w:t xml:space="preserve">30</w:t>
      </w:r>
      <w:r>
        <w:rPr>
          <w:rFonts w:hint="eastAsia" w:asciiTheme="minorEastAsia" w:hAnsiTheme="minorEastAsia"/>
          <w:b/>
          <w:bCs w:val="0"/>
          <w:color w:val="0070c0"/>
          <w:szCs w:val="28"/>
          <w:u w:val="single"/>
        </w:rPr>
        <w:t xml:space="preserve">日内组织验收</w:t>
      </w:r>
      <w:r>
        <w:rPr>
          <w:rFonts w:hint="eastAsia" w:asciiTheme="minorEastAsia" w:hAnsiTheme="minorEastAsia"/>
          <w:b/>
          <w:bCs w:val="0"/>
          <w:color w:val="0070c0"/>
          <w:szCs w:val="28"/>
          <w:u w:val="single"/>
          <w:lang w:eastAsia="zh-CN"/>
        </w:rPr>
        <w:t xml:space="preserve">。</w:t>
      </w:r>
      <w:r>
        <w:rPr>
          <w:rFonts w:hint="eastAsia" w:asciiTheme="minorEastAsia" w:hAnsiTheme="minorEastAsia"/>
          <w:b/>
          <w:bCs w:val="0"/>
          <w:color w:val="0070c0"/>
          <w:szCs w:val="28"/>
          <w:u w:val="single"/>
          <w:lang w:val="en-US" w:eastAsia="zh-CN"/>
        </w:rPr>
        <w:t xml:space="preserve"> </w:t>
      </w:r>
      <w:r/>
    </w:p>
    <w:p>
      <w:pPr>
        <w:ind w:firstLine="480"/>
        <w:spacing w:line="360" w:lineRule="auto"/>
        <w:rPr>
          <w:rFonts w:ascii="宋体" w:hAnsi="宋体"/>
          <w:bCs/>
          <w:sz w:val="24"/>
          <w:highlight w:val="none"/>
        </w:rPr>
      </w:pPr>
      <w:r>
        <w:rPr>
          <w:rFonts w:hint="eastAsia" w:ascii="宋体" w:hAnsi="宋体"/>
          <w:bCs/>
          <w:sz w:val="24"/>
          <w:highlight w:val="none"/>
        </w:rPr>
        <w:t xml:space="preserve">（3）履约验收方式：</w:t>
      </w:r>
      <w:r>
        <w:rPr>
          <w:rFonts w:hint="eastAsia" w:asciiTheme="minorEastAsia" w:hAnsiTheme="minorEastAsia"/>
          <w:b/>
          <w:bCs w:val="0"/>
          <w:color w:val="0070c0"/>
          <w:szCs w:val="28"/>
          <w:u w:val="single"/>
        </w:rPr>
        <w:t xml:space="preserve">按招标文件及付款节点约定</w:t>
      </w:r>
      <w:r>
        <w:rPr>
          <w:rFonts w:hint="eastAsia" w:ascii="宋体" w:hAnsi="宋体"/>
          <w:bCs/>
          <w:sz w:val="24"/>
          <w:highlight w:val="none"/>
        </w:rPr>
        <w:t xml:space="preserve">         </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（4）履约验收程序：</w:t>
      </w:r>
      <w:r>
        <w:rPr>
          <w:rFonts w:hint="eastAsia" w:ascii="宋体" w:hAnsi="宋体"/>
          <w:bCs/>
          <w:sz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none"/>
        </w:rPr>
        <w:t xml:space="preserve">履约验收的内容：</w:t>
      </w:r>
      <w:r>
        <w:rPr>
          <w:rFonts w:hint="eastAsia" w:ascii="宋体" w:hAnsi="宋体"/>
          <w:bCs/>
          <w:sz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Theme="minorEastAsia"/>
          <w:bCs/>
          <w:sz w:val="24"/>
          <w:highlight w:val="none"/>
          <w:u w:val="single"/>
          <w:lang w:eastAsia="zh-CN"/>
        </w:rPr>
      </w:pPr>
      <w:r>
        <w:rPr>
          <w:rFonts w:hint="eastAsia" w:ascii="宋体" w:hAnsi="宋体"/>
          <w:bCs/>
          <w:sz w:val="24"/>
          <w:highlight w:val="none"/>
        </w:rPr>
        <w:t xml:space="preserve">（6）履约验收标准：</w:t>
      </w:r>
      <w:r>
        <w:rPr>
          <w:rFonts w:hint="eastAsia" w:ascii="宋体" w:hAnsi="宋体"/>
          <w:bCs/>
          <w:sz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其他要求详见附件</w:t>
      </w:r>
      <w:r>
        <w:rPr>
          <w:rFonts w:hint="eastAsia" w:ascii="宋体" w:hAnsi="宋体"/>
          <w:bCs/>
          <w:sz w:val="24"/>
          <w:highlight w:val="none"/>
          <w:u w:val="single"/>
          <w:lang w:eastAsia="zh-CN"/>
        </w:rPr>
        <w:t xml:space="preserve">。</w:t>
      </w:r>
      <w:r/>
    </w:p>
    <w:p>
      <w:pPr>
        <w:ind w:firstLine="480"/>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硬件验收标准具体如下：</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A、产品为全新，未使用过的原装合格正品，安装质量符合各项技术标准和国家强制性标准；</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B、货物到达现场后，乙方必须在使用单位人员在场情况下当面开箱，共同清点、检查外观，箱记录，双方签字确认。</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C、乙方应保证货物到达甲方所在地完好无损，如有缺漏、损坏，由乙方负责调换、补齐或赔偿。</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D、乙方应提供完备的技术资料、装箱单和合格证等，验收合格条件（标准）如下：</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①设备技术参数与采购合同一致，性能指标达到规定的标准。</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②货物技术资料、装箱单、合格证等资料齐全。</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③在系统试运行期间所出现的问题得到解决，并运行正常。</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④在规定时间内完成交货并验收，并经甲方确认。</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E、乙方须完成甲方所有采购的软硬件产品安装调试工作，须符合甲方要求并试运行1个月后，才能作为最终验收。</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F、乙方提供的货物未达到采购文件规定要求，且对甲方造成损失的，由乙方承担一切责任，并赔偿所造成的损失。</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G、甲方可邀请国家认可的质量检测机构参加验收工作。</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H、甲方需要制造商对乙方交付的产品（包括质量、技术参数等）进行确认的，乙方须无条件配合，并出具书面确认证明。</w:t>
      </w:r>
      <w:r/>
    </w:p>
    <w:p>
      <w:pPr>
        <w:ind w:firstLine="480"/>
        <w:jc w:val="left"/>
        <w:spacing w:line="360" w:lineRule="auto"/>
        <w:widowControl/>
        <w:rPr>
          <w:rFonts w:hint="eastAsia" w:ascii="宋体" w:hAnsi="宋体" w:cs="宋体"/>
          <w:bCs/>
          <w:sz w:val="24"/>
          <w:highlight w:val="none"/>
          <w:u w:val="single"/>
        </w:rPr>
      </w:pPr>
      <w:r>
        <w:rPr>
          <w:rFonts w:hint="eastAsia" w:ascii="宋体" w:hAnsi="宋体" w:cs="宋体"/>
          <w:bCs/>
          <w:sz w:val="24"/>
          <w:highlight w:val="none"/>
          <w:u w:val="single"/>
        </w:rPr>
        <w:t xml:space="preserve">I、产品包装材料归甲方所有。</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þ</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2026</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东台市公安局</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tbl>
      <w:tblPr>
        <w:tblStyle w:val="662"/>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77"/>
        <w:gridCol w:w="2584"/>
        <w:gridCol w:w="1958"/>
        <w:gridCol w:w="1979"/>
      </w:tblGrid>
      <w:tr>
        <w:trPr>
          <w:trHeight w:val="490"/>
        </w:trPr>
        <w:tc>
          <w:tcPr>
            <w:gridSpan w:val="2"/>
            <w:tcBorders>
              <w:bottom w:val="single" w:color="000000" w:sz="2" w:space="0"/>
              <w:right w:val="single" w:color="000000" w:sz="2" w:space="0"/>
            </w:tcBorders>
            <w:tcW w:w="4461" w:type="dxa"/>
            <w:vAlign w:val="center"/>
            <w:textDirection w:val="lrTb"/>
            <w:noWrap w:val="false"/>
          </w:tcPr>
          <w:p>
            <w:pPr>
              <w:jc w:val="center"/>
              <w:spacing w:line="360" w:lineRule="auto"/>
              <w:rPr>
                <w:rFonts w:hint="default" w:eastAsiaTheme="minorEastAsia"/>
                <w:sz w:val="24"/>
                <w:highlight w:val="none"/>
                <w:lang w:val="en-US" w:eastAsia="zh-CN"/>
              </w:rPr>
            </w:pPr>
            <w:r>
              <w:rPr>
                <w:sz w:val="24"/>
                <w:highlight w:val="none"/>
              </w:rPr>
              <w:t xml:space="preserve">甲方</w:t>
            </w:r>
            <w:r>
              <w:rPr>
                <w:rFonts w:hint="eastAsia"/>
                <w:sz w:val="24"/>
                <w:highlight w:val="none"/>
              </w:rPr>
              <w:t xml:space="preserve">（采购人）</w:t>
            </w:r>
            <w:r>
              <w:rPr>
                <w:rFonts w:hint="eastAsia"/>
                <w:sz w:val="24"/>
                <w:highlight w:val="none"/>
                <w:lang w:val="en-US" w:eastAsia="zh-CN"/>
              </w:rPr>
              <w:t xml:space="preserve">东台市公安局</w:t>
            </w:r>
            <w:r/>
          </w:p>
        </w:tc>
        <w:tc>
          <w:tcPr>
            <w:gridSpan w:val="2"/>
            <w:tcBorders>
              <w:left w:val="single" w:color="000000" w:sz="2" w:space="0"/>
              <w:bottom w:val="single" w:color="000000" w:sz="2" w:space="0"/>
            </w:tcBorders>
            <w:tcW w:w="3937"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1877"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584"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1877"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584"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ind w:firstLine="0"/>
              <w:spacing w:line="240" w:lineRule="auto"/>
              <w:rPr>
                <w:sz w:val="24"/>
                <w:highlight w:val="none"/>
              </w:rPr>
            </w:pPr>
            <w:r>
              <w:rPr>
                <w:rFonts w:hint="eastAsia"/>
                <w:sz w:val="24"/>
              </w:rPr>
              <w:t xml:space="preserve">盐城市东台市广场路1号</w:t>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ind w:firstLine="0"/>
              <w:spacing w:line="240" w:lineRule="auto"/>
              <w:rPr>
                <w:sz w:val="24"/>
                <w:highlight w:val="none"/>
              </w:rPr>
            </w:pPr>
            <w:r>
              <w:rPr>
                <w:rFonts w:hint="eastAsia"/>
                <w:sz w:val="24"/>
              </w:rPr>
              <w:t xml:space="preserve">宗先生</w:t>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ind w:firstLine="0"/>
              <w:spacing w:line="240" w:lineRule="auto"/>
              <w:rPr>
                <w:sz w:val="24"/>
                <w:highlight w:val="none"/>
              </w:rPr>
            </w:pPr>
            <w:r>
              <w:rPr>
                <w:sz w:val="24"/>
              </w:rPr>
              <w:t xml:space="preserve">0515-85298316</w:t>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ind w:firstLine="0"/>
              <w:spacing w:line="240" w:lineRule="auto"/>
              <w:rPr>
                <w:sz w:val="24"/>
                <w:highlight w:val="none"/>
              </w:rPr>
            </w:pPr>
            <w:r>
              <w:rPr>
                <w:rFonts w:hint="eastAsia"/>
                <w:sz w:val="24"/>
              </w:rPr>
              <w:t xml:space="preserve">盐城市东台市广场路1号</w:t>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ind w:firstLine="0"/>
              <w:spacing w:line="240" w:lineRule="auto"/>
              <w:rPr>
                <w:sz w:val="24"/>
                <w:highlight w:val="none"/>
              </w:rPr>
            </w:pPr>
            <w:r>
              <w:rPr>
                <w:sz w:val="24"/>
              </w:rPr>
              <w:t xml:space="preserve">224200</w:t>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1877"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84"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1958"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1979" w:type="dxa"/>
            <w:vAlign w:val="center"/>
            <w:textDirection w:val="lrTb"/>
            <w:noWrap w:val="false"/>
          </w:tcPr>
          <w:p>
            <w:pPr>
              <w:jc w:val="center"/>
              <w:spacing w:line="360" w:lineRule="auto"/>
              <w:rPr>
                <w:spacing w:val="20"/>
                <w:sz w:val="24"/>
                <w:highlight w:val="none"/>
              </w:rPr>
            </w:pPr>
            <w:r>
              <w:rPr>
                <w:spacing w:val="20"/>
                <w:sz w:val="24"/>
                <w:highlight w:val="none"/>
              </w:rPr>
            </w:r>
            <w:r/>
          </w:p>
        </w:tc>
      </w:tr>
    </w:tbl>
    <w:p>
      <w:pPr>
        <w:pStyle w:val="653"/>
        <w:jc w:val="center"/>
        <w:spacing w:before="156"/>
        <w:rPr>
          <w:rFonts w:ascii="黑体" w:hAnsi="黑体" w:eastAsia="黑体"/>
          <w:sz w:val="28"/>
          <w:szCs w:val="28"/>
          <w:highlight w:val="none"/>
        </w:rPr>
      </w:pPr>
      <w:r>
        <w:rPr>
          <w:rFonts w:ascii="宋体" w:hAnsi="宋体"/>
          <w:highlight w:val="none"/>
          <w:u w:val="single"/>
        </w:rPr>
        <w:br w:type="page" w:clear="all"/>
      </w:r>
      <w:bookmarkStart w:id="181" w:name="_Toc27624"/>
      <w:r/>
      <w:bookmarkStart w:id="182" w:name="_Toc20313"/>
      <w:r>
        <w:rPr>
          <w:rFonts w:hint="eastAsia" w:ascii="黑体" w:hAnsi="黑体" w:eastAsia="黑体"/>
          <w:b w:val="0"/>
          <w:bCs w:val="0"/>
          <w:sz w:val="28"/>
          <w:szCs w:val="28"/>
          <w:highlight w:val="none"/>
        </w:rPr>
        <w:t xml:space="preserve">第二节 政府采购合同通用条款</w:t>
      </w:r>
      <w:bookmarkEnd w:id="181"/>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5.3乙方有权根据合同约定向甲方收取合同价款。</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5.4国家法律法规规定及【政府采购合同专用条款】约定应由乙方承担的其他义务和责任。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52"/>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72"/>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2"/>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83"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83"/>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jc w:val="left"/>
        <w:spacing w:line="400" w:lineRule="exact"/>
        <w:rPr>
          <w:rFonts w:hint="eastAsia"/>
          <w:highlight w:val="none"/>
        </w:rPr>
      </w:pPr>
      <w:r>
        <w:rPr>
          <w:rFonts w:hint="eastAsia" w:ascii="宋体" w:hAnsi="宋体" w:cs="宋体"/>
          <w:szCs w:val="15"/>
          <w:highlight w:val="none"/>
        </w:rPr>
        <w:t xml:space="preserve">12.2 对于满足合同约定支付条件的，甲方原则上应当自收到发票后1</w:t>
      </w:r>
      <w:r>
        <w:rPr>
          <w:rFonts w:hint="eastAsia" w:ascii="宋体" w:hAnsi="宋体"/>
          <w:b w:val="0"/>
          <w:bCs w:val="0"/>
          <w:sz w:val="21"/>
          <w:szCs w:val="21"/>
          <w:highlight w:val="none"/>
        </w:rPr>
        <w:t xml:space="preserve">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68"/>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5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2"/>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5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52"/>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5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52"/>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82"/>
      <w:r/>
      <w:r/>
    </w:p>
    <w:tbl>
      <w:tblPr>
        <w:tblStyle w:val="662"/>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tc>
      </w:tr>
      <w:tr>
        <w:trPr>
          <w:trHeight w:val="604"/>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在竣工验收完成后的30日内，甲方对乙方所供货物的技术性能和参数等方面的问题有提出异议的权利。</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协助、协调乙方与相关单位的配合工作。</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1、乙方保证甲方在使用该货物或其任何一部分时免受第三方关于侵犯其专利权、商标权、工业设计权、知识产权等相关权利的指控。</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2、如货物的硬（软）件质量、规格在使用期内被证明存在缺陷，包括潜在的缺陷或使用不合适的材料，甲方或乙方有权凭有关证明文件向供方提出索赔，并交有关部门处理。</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3、详见附件</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同时履行</w:t>
            </w:r>
            <w:r/>
          </w:p>
        </w:tc>
      </w:tr>
      <w:tr>
        <w:trPr>
          <w:cantSplit/>
          <w:trHeight w:val="667"/>
        </w:trPr>
        <w:tc>
          <w:tcPr>
            <w:tcW w:w="1560"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170"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 层，空隙率不大于40%；</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4.商品包装印刷使用的油墨中挥发性有机化合物(VOCs)含量应不大于 5%（以重量计）；</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5.塑料材质商品包装上呈现的印刷颜色不得超过6色；</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东台市境内</w:t>
            </w:r>
            <w:r/>
          </w:p>
        </w:tc>
      </w:tr>
      <w:tr>
        <w:trPr>
          <w:trHeight w:val="772"/>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170"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1.货物验收合格、交付使用并提供所需单据的日期视为交货日期。</w:t>
            </w:r>
            <w:r/>
          </w:p>
          <w:p>
            <w:pPr>
              <w:pStyle w:val="852"/>
              <w:ind w:firstLine="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2.乙方在货物发运手续办理完毕后24小时内或货到48小时前通知甲方，以准备接货。（具体时间根据双方实际需求调整）</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3.乙方装运的货物不应超过合同规定的数量或重量。乙方应对超交数量或超重而产生的一切后果负责。</w:t>
            </w:r>
            <w:r/>
          </w:p>
          <w:p>
            <w:pPr>
              <w:pStyle w:val="852"/>
              <w:ind w:firstLine="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4.货物在交付甲方前发生的货物损失及人员安全风险均由乙方负责。</w:t>
            </w:r>
            <w:r/>
          </w:p>
        </w:tc>
      </w:tr>
      <w:tr>
        <w:trPr>
          <w:trHeight w:val="667"/>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170"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货物交货前由乙方承担保险义务</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170" w:type="dxa"/>
            <w:vAlign w:val="center"/>
            <w:textDirection w:val="lrTb"/>
            <w:noWrap w:val="false"/>
          </w:tcPr>
          <w:p>
            <w:pPr>
              <w:ind w:firstLine="48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w:t>
            </w:r>
            <w:r>
              <w:rPr>
                <w:rFonts w:hint="eastAsia" w:ascii="宋体" w:hAnsi="宋体" w:eastAsia="宋体" w:cs="宋体"/>
                <w:sz w:val="24"/>
                <w:szCs w:val="24"/>
              </w:rPr>
              <w:t xml:space="preserve">物免费质保期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其中杆件产品质保期为20年。质保期以设备最终验收之日起算。合同签订前提供“附件：主要设备技术参数要求”中设备的3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trHeight w:val="555"/>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170" w:type="dxa"/>
            <w:vAlign w:val="center"/>
            <w:textDirection w:val="lrTb"/>
            <w:noWrap w:val="false"/>
          </w:tcPr>
          <w:p>
            <w:pPr>
              <w:pStyle w:val="686"/>
              <w:ind w:left="480" w:hanging="480"/>
              <w:jc w:val="both"/>
              <w:keepLines w:val="0"/>
              <w:keepNext w:val="0"/>
              <w:pageBreakBefore w:val="0"/>
              <w:spacing w:before="120" w:beforeAutospacing="0" w:after="120" w:afterAutospacing="0"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第8款补充</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质量保证要求</w:t>
            </w:r>
            <w:r/>
          </w:p>
        </w:tc>
        <w:tc>
          <w:tcPr>
            <w:tcW w:w="5170" w:type="dxa"/>
            <w:vAlign w:val="center"/>
            <w:textDirection w:val="lrTb"/>
            <w:noWrap w:val="false"/>
          </w:tcPr>
          <w:p>
            <w:pPr>
              <w:pStyle w:val="686"/>
              <w:ind w:left="480" w:hanging="480"/>
              <w:jc w:val="both"/>
              <w:keepLines w:val="0"/>
              <w:keepNext w:val="0"/>
              <w:pageBreakBefore w:val="0"/>
              <w:spacing w:before="120" w:beforeAutospacing="0" w:after="120" w:afterAutospacing="0"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89"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170" w:type="dxa"/>
            <w:vAlign w:val="center"/>
            <w:textDirection w:val="lrTb"/>
            <w:noWrap w:val="false"/>
          </w:tcPr>
          <w:p>
            <w:pPr>
              <w:ind w:firstLine="480"/>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乙方在任何情况下的泄密给甲方造成不良影响时，甲方有权立即终止合同并不支付全部货款（货款已付时乙方须无条件退还已收到的全部货款），同时支付20%的违约金，并作为不良记录公示。</w:t>
            </w:r>
            <w:r/>
          </w:p>
        </w:tc>
      </w:tr>
      <w:tr>
        <w:trPr>
          <w:trHeight w:val="697"/>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合同价款支付时间及要求</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1.合同款项的支付方式及进度安排：详见合同协议书。</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发票；</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制造厂家出具的质量检验证书等；</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装箱单；</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甲方加盖公章证明交付使用合格的验收单。</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报送手续所需的相关货物文件或安装资料。</w:t>
            </w:r>
            <w:r/>
          </w:p>
        </w:tc>
      </w:tr>
      <w:tr>
        <w:trPr>
          <w:trHeight w:val="697"/>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170"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170" w:type="dxa"/>
            <w:vAlign w:val="center"/>
            <w:textDirection w:val="lrTb"/>
            <w:noWrap w:val="false"/>
          </w:tcPr>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1、合同履行结束后，甲方应及时退还交纳的履约保证金。</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2、退还方式：退还至投标人缴纳履约保证金的账户。如为保函，在到期时自行失效。</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3、退还时间：验收合格且甲方收到发票后30日内。</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4、退还条件：按合同要求全部履约完成并经采购人验收合格，且采购人收到中标人出具的发票。</w:t>
            </w:r>
            <w:r/>
          </w:p>
          <w:p>
            <w:pP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170" w:type="dxa"/>
            <w:vAlign w:val="center"/>
            <w:textDirection w:val="lrTb"/>
            <w:noWrap w:val="false"/>
          </w:tcPr>
          <w:p>
            <w:pPr>
              <w:pStyle w:val="851"/>
              <w:ind w:firstLine="458"/>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color w:val="0070c0"/>
              </w:rPr>
              <w:t xml:space="preserve">详见合同协议书</w:t>
            </w:r>
            <w:r/>
          </w:p>
        </w:tc>
      </w:tr>
      <w:tr>
        <w:trPr>
          <w:trHeight w:val="784"/>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170" w:type="dxa"/>
            <w:vAlign w:val="center"/>
            <w:textDirection w:val="lrTb"/>
            <w:noWrap w:val="false"/>
          </w:tcPr>
          <w:p>
            <w:pPr>
              <w:pStyle w:val="851"/>
              <w:ind w:firstLine="458"/>
              <w:jc w:val="left"/>
              <w:keepLines w:val="0"/>
              <w:keepNext w:val="0"/>
              <w:pageBreakBefore w:val="0"/>
              <w:spacing w:line="3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0070c0"/>
                <w:sz w:val="24"/>
                <w:szCs w:val="24"/>
                <w:lang w:val="en-US" w:eastAsia="zh-CN"/>
              </w:rPr>
              <w:t xml:space="preserve">/</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170" w:type="dxa"/>
            <w:vAlign w:val="center"/>
            <w:textDirection w:val="lrTb"/>
            <w:noWrap w:val="false"/>
          </w:tcPr>
          <w:p>
            <w:pPr>
              <w:pStyle w:val="851"/>
              <w:ind w:firstLine="458"/>
              <w:jc w:val="left"/>
              <w:keepLines w:val="0"/>
              <w:keepNext w:val="0"/>
              <w:pageBreakBefore w:val="0"/>
              <w:spacing w:line="340" w:lineRule="exact"/>
              <w:rPr>
                <w:rFonts w:hint="eastAsia"/>
                <w:color w:val="0070c0"/>
              </w:rPr>
            </w:pPr>
            <w:r>
              <w:rPr>
                <w:rFonts w:hint="eastAsia"/>
                <w:color w:val="0070c0"/>
              </w:rPr>
              <w:t xml:space="preserve">1.所有货物免费送达甲方指定地点，货物的托运、安装及预装常用软件（如需要）等，均不需另行付费。</w:t>
            </w:r>
            <w:r/>
          </w:p>
          <w:p>
            <w:pPr>
              <w:pStyle w:val="851"/>
              <w:ind w:firstLine="458"/>
              <w:jc w:val="left"/>
              <w:keepLines w:val="0"/>
              <w:keepNext w:val="0"/>
              <w:pageBreakBefore w:val="0"/>
              <w:spacing w:line="340" w:lineRule="exact"/>
              <w:rPr>
                <w:rFonts w:hint="eastAsia"/>
                <w:color w:val="0070c0"/>
              </w:rPr>
            </w:pPr>
            <w:r>
              <w:rPr>
                <w:rFonts w:hint="eastAsia"/>
                <w:color w:val="0070c0"/>
              </w:rPr>
              <w:t xml:space="preserve">2.项目实施期间乙方人员安全和财产损失均由乙方负责，与甲方无涉。</w:t>
            </w:r>
            <w:r/>
          </w:p>
          <w:p>
            <w:pPr>
              <w:pStyle w:val="851"/>
              <w:ind w:firstLine="458"/>
              <w:jc w:val="left"/>
              <w:keepLines w:val="0"/>
              <w:keepNext w:val="0"/>
              <w:pageBreakBefore w:val="0"/>
              <w:spacing w:line="340" w:lineRule="exact"/>
              <w:rPr>
                <w:rFonts w:hint="eastAsia"/>
                <w:color w:val="0070c0"/>
              </w:rPr>
            </w:pPr>
            <w:r>
              <w:rPr>
                <w:rFonts w:hint="eastAsia"/>
                <w:color w:val="0070c0"/>
              </w:rPr>
              <w:t xml:space="preserve">3.根据厂方的规定对所供货物进行保修，在质量保证期内，乙方不得收取任何费用；质量保证期满后，乙方对用户货物的维修，只收成本费，并提供终生技术服务。</w:t>
            </w:r>
            <w:r/>
          </w:p>
          <w:p>
            <w:pPr>
              <w:pStyle w:val="851"/>
              <w:ind w:firstLine="458"/>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color w:val="0070c0"/>
              </w:rPr>
              <w:t xml:space="preserve">4.如甲方使用不当造成货物的毁损，乙方有义务协助维修。</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170" w:type="dxa"/>
            <w:vAlign w:val="center"/>
            <w:textDirection w:val="lrTb"/>
            <w:noWrap w:val="false"/>
          </w:tcPr>
          <w:p>
            <w:pPr>
              <w:pStyle w:val="851"/>
              <w:ind w:firstLine="458"/>
              <w:jc w:val="left"/>
              <w:keepLines w:val="0"/>
              <w:keepNext w:val="0"/>
              <w:pageBreakBefore w:val="0"/>
              <w:spacing w:line="340" w:lineRule="exact"/>
              <w:rPr>
                <w:rFonts w:hint="eastAsia"/>
                <w:color w:val="auto"/>
              </w:rPr>
            </w:pPr>
            <w:r>
              <w:rPr>
                <w:rFonts w:hint="eastAsia"/>
                <w:color w:val="auto"/>
              </w:rPr>
              <w:t xml:space="preserve">详见合同通用条款8.2条款、合同专用条款第二节第8款补充条款及合同专用条款中索赔条款。</w:t>
            </w:r>
            <w:r/>
          </w:p>
          <w:p>
            <w:pPr>
              <w:pStyle w:val="851"/>
              <w:ind w:firstLine="458"/>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color w:val="auto"/>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jc w:val="left"/>
              <w:keepLines w:val="0"/>
              <w:keepNext w:val="0"/>
              <w:pageBreakBefore w:val="0"/>
              <w:spacing w:line="3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乙方逾期交付货物的，乙方应按逾期交货总额每日</w:t>
            </w:r>
            <w:r>
              <w:rPr>
                <w:rFonts w:hint="eastAsia" w:ascii="宋体" w:hAnsi="宋体" w:eastAsia="宋体" w:cs="宋体"/>
                <w:b/>
                <w:bCs/>
                <w:color w:val="auto"/>
                <w:sz w:val="24"/>
                <w:szCs w:val="24"/>
                <w:highlight w:val="none"/>
                <w:u w:val="single"/>
              </w:rPr>
              <w:t xml:space="preserve">千分之六</w:t>
            </w:r>
            <w:r>
              <w:rPr>
                <w:rFonts w:hint="eastAsia" w:ascii="宋体" w:hAnsi="宋体" w:eastAsia="宋体" w:cs="宋体"/>
                <w:color w:val="auto"/>
                <w:sz w:val="24"/>
                <w:szCs w:val="24"/>
                <w:highlight w:val="none"/>
                <w:u w:val="single"/>
              </w:rPr>
              <w:t xml:space="preserve">向甲方支付违约金，由甲方从待付货款中扣除。逾期超过约定</w:t>
            </w:r>
            <w:r>
              <w:rPr>
                <w:rFonts w:hint="eastAsia" w:ascii="宋体" w:hAnsi="宋体" w:eastAsia="宋体" w:cs="宋体"/>
                <w:b/>
                <w:bCs/>
                <w:color w:val="auto"/>
                <w:sz w:val="24"/>
                <w:szCs w:val="24"/>
                <w:highlight w:val="none"/>
                <w:u w:val="single"/>
              </w:rPr>
              <w:t xml:space="preserve">10个工作日</w:t>
            </w:r>
            <w:r>
              <w:rPr>
                <w:rFonts w:hint="eastAsia" w:ascii="宋体" w:hAnsi="宋体" w:eastAsia="宋体" w:cs="宋体"/>
                <w:color w:val="auto"/>
                <w:sz w:val="24"/>
                <w:szCs w:val="24"/>
                <w:highlight w:val="none"/>
                <w:u w:val="single"/>
              </w:rPr>
              <w:t xml:space="preserve">不能交货的，甲方有权解除本合同。乙方因逾期交货或因其他违约行为导致甲方解除合同的，乙方应向甲方支付合同总值5%的违约金，如造成甲方损失超过违约金的，超出部分由乙方继续承担赔偿责任。</w:t>
            </w:r>
            <w:r/>
          </w:p>
          <w:p>
            <w:pPr>
              <w:jc w:val="left"/>
              <w:keepLines w:val="0"/>
              <w:keepNext w:val="0"/>
              <w:pageBreakBefore w:val="0"/>
              <w:spacing w:line="3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4.如乙方不能交付货物，或者有违法转包他人情形，乙方应向甲方支付合同总价5%的滞纳金。</w:t>
            </w:r>
            <w:r/>
          </w:p>
        </w:tc>
      </w:tr>
      <w:tr>
        <w:trPr>
          <w:trHeight w:val="736"/>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甲方无故逾期验收和办理合同款项支付手续的, 将按银行同期存款利率支付逾期付款部分的利息。</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1、乙方交付合同标的的标准不符合合同规定及招标文件规定标准的，甲方有权拒绝接受合同标的，并可单方面解除合同。</w:t>
            </w:r>
            <w:r/>
          </w:p>
          <w:p>
            <w:pPr>
              <w:jc w:val="left"/>
              <w:keepLines w:val="0"/>
              <w:keepNext w:val="0"/>
              <w:pageBreakBefore w:val="0"/>
              <w:spacing w:line="3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2、详见附件</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（2）向甲方所在地人民法院起诉。</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纠纷解决办法</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203"/>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4.货物验收要求</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（1）依照招标文件要求对全部货物、型号、规格、数量、外型、外观、包装及资料、文件（如装箱单、保修单、随箱介质等）进行验收。</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（2）甲方与乙方对货物到货后共同进行开箱检查，出现损坏、数量不全或产品不对等问题时，由乙方负责解决。</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（4）乙方应按照本合同规定的时间、地点和方式向乙方交付货物。</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90日历天内</w:t>
            </w:r>
            <w:r>
              <w:rPr>
                <w:rFonts w:hint="eastAsia" w:ascii="宋体" w:hAnsi="宋体" w:eastAsia="宋体" w:cs="宋体"/>
                <w:color w:val="auto"/>
                <w:sz w:val="24"/>
                <w:szCs w:val="24"/>
                <w:highlight w:val="none"/>
              </w:rPr>
              <w:t xml:space="preserve">完成供货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并交付使用。</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w:t>
            </w:r>
            <w:r>
              <w:rPr>
                <w:rFonts w:hint="eastAsia" w:ascii="宋体" w:hAnsi="宋体" w:eastAsia="宋体" w:cs="宋体"/>
                <w:color w:val="auto"/>
                <w:sz w:val="24"/>
                <w:szCs w:val="24"/>
                <w:highlight w:val="none"/>
                <w:u w:val="single"/>
                <w:lang w:val="en-US" w:eastAsia="zh-CN"/>
              </w:rPr>
              <w:t xml:space="preserve">东台市公安局（采购人指定地点，详见点位明细表）</w:t>
            </w:r>
            <w:r>
              <w:rPr>
                <w:rFonts w:hint="eastAsia" w:ascii="宋体" w:hAnsi="宋体" w:eastAsia="宋体" w:cs="宋体"/>
                <w:color w:val="auto"/>
                <w:sz w:val="24"/>
                <w:szCs w:val="24"/>
                <w:highlight w:val="none"/>
              </w:rPr>
              <w:t xml:space="preserve">。</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个月后，甲方组织对货物的质量及使用状况等进行最终验收。</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auto"/>
                <w:sz w:val="24"/>
                <w:szCs w:val="24"/>
                <w:highlight w:val="none"/>
                <w:lang w:val="en-US" w:eastAsia="zh-CN"/>
              </w:rPr>
              <w:t xml:space="preserve">和经济赔偿责任</w:t>
            </w:r>
            <w:r>
              <w:rPr>
                <w:rFonts w:hint="eastAsia" w:ascii="宋体" w:hAnsi="宋体" w:eastAsia="宋体" w:cs="宋体"/>
                <w:color w:val="auto"/>
                <w:sz w:val="24"/>
                <w:szCs w:val="24"/>
                <w:highlight w:val="none"/>
              </w:rPr>
              <w:t xml:space="preserve">。</w:t>
            </w:r>
            <w:r/>
          </w:p>
        </w:tc>
      </w:tr>
      <w:tr>
        <w:trPr>
          <w:trHeight w:val="770"/>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税费</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w:t>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color w:val="auto"/>
                <w:sz w:val="24"/>
                <w:szCs w:val="24"/>
                <w:highlight w:val="none"/>
              </w:rPr>
              <w:t xml:space="preserve">“新三包”</w:t>
            </w:r>
            <w:r>
              <w:rPr>
                <w:rFonts w:hint="eastAsia" w:ascii="宋体" w:hAnsi="宋体" w:eastAsia="宋体" w:cs="宋体"/>
                <w:color w:val="auto"/>
                <w:sz w:val="24"/>
                <w:szCs w:val="24"/>
                <w:highlight w:val="none"/>
              </w:rPr>
              <w:t xml:space="preserve">规定和合同中所附的服务承诺提供服务。</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2.除第1条规定外，乙方还应提供下列服务：</w:t>
            </w:r>
            <w:r/>
          </w:p>
          <w:p>
            <w:pPr>
              <w:jc w:val="left"/>
              <w:keepLines w:val="0"/>
              <w:keepNext w:val="0"/>
              <w:pageBreakBefore w:val="0"/>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 招标文件中的“服务要求”所规定的服务内容以及投标文件承诺提供的其他服务内容；</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负责货物的开孔，货物的现场安装；</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提供货物组装和维修所需的工具；</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在货物交货现场就货物的安装、启用、维护等对甲方人员进行培训。</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索赔</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1.甲方有权根据当地质检部门出具的检验报告，向乙方提出索赔。</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根据货物的低劣程度、损坏程度以及甲方所遭受损失的数额，乙方必须降低货物的价格。</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p>
          <w:p>
            <w:pPr>
              <w:jc w:val="left"/>
              <w:keepLines w:val="0"/>
              <w:keepNext w:val="0"/>
              <w:pageBreakBefore w:val="0"/>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170"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合同经甲方、乙方盖章后生效。</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货物交付使用后所发生的合同纠纷，由甲方与乙方协商处理。</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政府采购法》等有关条文执行。</w:t>
            </w:r>
            <w:r/>
          </w:p>
        </w:tc>
      </w:tr>
    </w:tbl>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pStyle w:val="686"/>
        <w:jc w:val="center"/>
        <w:keepLines w:val="0"/>
        <w:keepNext w:val="0"/>
        <w:pageBreakBefore w:val="0"/>
        <w:spacing w:before="120" w:beforeAutospacing="0" w:after="120" w:afterAutospacing="0" w:line="500" w:lineRule="exact"/>
        <w:widowControl w:val="off"/>
        <w:rPr>
          <w:sz w:val="22"/>
          <w:szCs w:val="22"/>
          <w:highlight w:val="none"/>
        </w:rPr>
      </w:pPr>
      <w:r>
        <w:rPr>
          <w:rFonts w:hint="eastAsia" w:ascii="黑体" w:hAnsi="宋体" w:eastAsia="黑体" w:cs="黑体"/>
          <w:color w:val="000000"/>
          <w:sz w:val="40"/>
          <w:szCs w:val="40"/>
          <w:highlight w:val="none"/>
        </w:rPr>
        <w:t xml:space="preserve">第</w:t>
      </w:r>
      <w:bookmarkEnd w:id="171"/>
      <w:r>
        <w:rPr>
          <w:rFonts w:hint="eastAsia" w:ascii="黑体" w:hAnsi="宋体" w:eastAsia="黑体" w:cs="黑体"/>
          <w:color w:val="000000"/>
          <w:sz w:val="40"/>
          <w:szCs w:val="40"/>
          <w:highlight w:val="none"/>
        </w:rPr>
        <w:t xml:space="preserve">四章 采购需求</w:t>
      </w:r>
      <w:bookmarkEnd w:id="172"/>
      <w:r/>
      <w:bookmarkEnd w:id="173"/>
      <w:r/>
      <w:bookmarkEnd w:id="174"/>
      <w:r/>
      <w:bookmarkEnd w:id="175"/>
      <w:r/>
      <w:bookmarkEnd w:id="176"/>
      <w:r/>
      <w:r/>
    </w:p>
    <w:p>
      <w:pPr>
        <w:pStyle w:val="68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4" w:name="_Toc49090575"/>
      <w:r/>
      <w:bookmarkStart w:id="185" w:name="_Toc26554093"/>
      <w:r>
        <w:rPr>
          <w:rFonts w:hint="eastAsia" w:ascii="宋体" w:hAnsi="宋体" w:eastAsia="宋体" w:cs="宋体"/>
          <w:color w:val="000000"/>
          <w:sz w:val="24"/>
          <w:szCs w:val="24"/>
          <w:highlight w:val="none"/>
        </w:rPr>
        <w:t xml:space="preserve">项目属性:</w:t>
      </w:r>
      <w:r>
        <w:rPr>
          <w:rFonts w:hint="eastAsia" w:ascii="宋体" w:hAnsi="宋体" w:eastAsia="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rPr>
        <w:t xml:space="preserve">类项目</w:t>
      </w:r>
      <w:r>
        <w:rPr>
          <w:rFonts w:hint="eastAsia" w:ascii="宋体" w:hAnsi="宋体" w:eastAsia="宋体" w:cs="宋体"/>
          <w:color w:val="000000"/>
          <w:sz w:val="24"/>
          <w:szCs w:val="24"/>
          <w:highlight w:val="none"/>
        </w:rPr>
        <w:t xml:space="preserve">。</w:t>
      </w:r>
      <w:bookmarkEnd w:id="184"/>
      <w:r/>
      <w:bookmarkEnd w:id="185"/>
      <w:r/>
      <w:r/>
    </w:p>
    <w:p>
      <w:pPr>
        <w:pStyle w:val="686"/>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一、采购内容</w:t>
      </w:r>
      <w:r/>
    </w:p>
    <w:tbl>
      <w:tblPr>
        <w:tblStyle w:val="662"/>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293"/>
        <w:gridCol w:w="2628"/>
        <w:gridCol w:w="816"/>
        <w:gridCol w:w="876"/>
        <w:gridCol w:w="1620"/>
      </w:tblGrid>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sz w:val="21"/>
                <w:szCs w:val="21"/>
                <w:highlight w:val="white"/>
              </w:rPr>
            </w:pPr>
            <w:r>
              <w:rPr>
                <w:rFonts w:hint="eastAsia" w:ascii="仿宋" w:hAnsi="仿宋" w:eastAsia="仿宋" w:cs="仿宋"/>
                <w:b/>
                <w:bCs/>
                <w:sz w:val="21"/>
                <w:szCs w:val="21"/>
                <w:highlight w:val="white"/>
                <w:lang w:val="en-US" w:eastAsia="zh-CN"/>
              </w:rPr>
              <w:t xml:space="preserve">序号</w:t>
            </w:r>
            <w:r/>
          </w:p>
        </w:tc>
        <w:tc>
          <w:tcPr>
            <w:shd w:val="clear" w:color="000000" w:fill="ffffff"/>
            <w:tcW w:w="2293" w:type="dxa"/>
            <w:vAlign w:val="center"/>
            <w:textDirection w:val="lrTb"/>
            <w:noWrap w:val="false"/>
          </w:tcPr>
          <w:p>
            <w:pPr>
              <w:jc w:val="center"/>
              <w:keepLines w:val="0"/>
              <w:keepNext w:val="0"/>
              <w:widowControl/>
              <w:rPr>
                <w:rFonts w:hint="eastAsia" w:ascii="仿宋" w:hAnsi="仿宋" w:eastAsia="仿宋" w:cs="仿宋"/>
                <w:b/>
                <w:bCs/>
                <w:color w:val="000000"/>
                <w:sz w:val="21"/>
                <w:szCs w:val="21"/>
                <w:highlight w:val="white"/>
              </w:rPr>
              <w:suppressLineNumbers w:val="0"/>
            </w:pPr>
            <w:r>
              <w:rPr>
                <w:rFonts w:hint="eastAsia" w:ascii="仿宋" w:hAnsi="仿宋" w:eastAsia="仿宋" w:cs="仿宋"/>
                <w:b/>
                <w:bCs/>
                <w:color w:val="000000"/>
                <w:sz w:val="21"/>
                <w:szCs w:val="21"/>
                <w:highlight w:val="white"/>
                <w:lang w:val="en-US" w:eastAsia="zh-CN" w:bidi="ar"/>
              </w:rPr>
              <w:t xml:space="preserve">设备名称</w:t>
            </w:r>
            <w:r/>
          </w:p>
        </w:tc>
        <w:tc>
          <w:tcPr>
            <w:shd w:val="clear" w:color="000000" w:fill="ffffff"/>
            <w:tcW w:w="2628" w:type="dxa"/>
            <w:vAlign w:val="center"/>
            <w:textDirection w:val="lrTb"/>
            <w:noWrap w:val="false"/>
          </w:tcPr>
          <w:p>
            <w:pPr>
              <w:jc w:val="center"/>
              <w:keepLines w:val="0"/>
              <w:keepNext w:val="0"/>
              <w:widowControl/>
              <w:rPr>
                <w:rFonts w:hint="eastAsia" w:ascii="仿宋" w:hAnsi="仿宋" w:eastAsia="仿宋" w:cs="仿宋"/>
                <w:b/>
                <w:bCs/>
                <w:sz w:val="21"/>
                <w:szCs w:val="21"/>
                <w:highlight w:val="white"/>
              </w:rPr>
              <w:suppressLineNumbers w:val="0"/>
            </w:pPr>
            <w:r>
              <w:rPr>
                <w:rFonts w:hint="eastAsia" w:ascii="仿宋" w:hAnsi="仿宋" w:eastAsia="仿宋" w:cs="仿宋"/>
                <w:b/>
                <w:bCs/>
                <w:sz w:val="21"/>
                <w:szCs w:val="21"/>
                <w:highlight w:val="white"/>
                <w:lang w:val="en-US" w:eastAsia="zh-CN"/>
              </w:rPr>
              <w:t xml:space="preserve">技术参数及要求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b/>
                <w:bCs/>
                <w:color w:val="000000"/>
                <w:sz w:val="21"/>
                <w:szCs w:val="21"/>
                <w:highlight w:val="whit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单位</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b/>
                <w:bCs/>
                <w:color w:val="000000"/>
                <w:sz w:val="21"/>
                <w:szCs w:val="21"/>
                <w:highlight w:val="whit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数量</w:t>
            </w:r>
            <w:r/>
          </w:p>
        </w:tc>
        <w:tc>
          <w:tcPr>
            <w:shd w:val="clear" w:color="000000" w:fill="ffffff"/>
            <w:tcW w:w="1620" w:type="dxa"/>
            <w:vAlign w:val="center"/>
            <w:textDirection w:val="lrTb"/>
            <w:noWrap w:val="false"/>
          </w:tcPr>
          <w:p>
            <w:pPr>
              <w:jc w:val="center"/>
              <w:keepLines w:val="0"/>
              <w:keepNext w:val="0"/>
              <w:widowControl/>
              <w:rPr>
                <w:rFonts w:hint="eastAsia" w:ascii="仿宋" w:hAnsi="仿宋" w:eastAsia="仿宋" w:cs="仿宋"/>
                <w:b/>
                <w:bCs/>
                <w:color w:val="000000"/>
                <w:sz w:val="21"/>
                <w:szCs w:val="21"/>
                <w:highlight w:val="white"/>
              </w:rPr>
              <w:suppressLineNumbers w:val="0"/>
            </w:pPr>
            <w:r>
              <w:rPr>
                <w:rFonts w:hint="eastAsia" w:ascii="仿宋" w:hAnsi="仿宋" w:eastAsia="仿宋" w:cs="仿宋"/>
                <w:b/>
                <w:bCs/>
                <w:color w:val="000000"/>
                <w:sz w:val="21"/>
                <w:szCs w:val="21"/>
                <w:highlight w:val="white"/>
                <w:lang w:val="en-US" w:eastAsia="zh-CN" w:bidi="ar"/>
              </w:rPr>
              <w:t xml:space="preserve">备注</w:t>
            </w:r>
            <w:r/>
          </w:p>
          <w:p>
            <w:pPr>
              <w:jc w:val="center"/>
              <w:keepLines w:val="0"/>
              <w:keepNext w:val="0"/>
              <w:widowControl/>
              <w:rPr>
                <w:rFonts w:hint="eastAsia" w:ascii="仿宋" w:hAnsi="仿宋" w:eastAsia="仿宋" w:cs="仿宋"/>
                <w:b/>
                <w:bCs/>
                <w:color w:val="000000"/>
                <w:sz w:val="21"/>
                <w:szCs w:val="21"/>
                <w:highlight w:val="white"/>
              </w:rPr>
              <w:suppressLineNumbers w:val="0"/>
            </w:pPr>
            <w:r>
              <w:rPr>
                <w:rFonts w:hint="eastAsia" w:ascii="仿宋" w:hAnsi="仿宋" w:eastAsia="仿宋" w:cs="仿宋"/>
                <w:b/>
                <w:bCs/>
                <w:color w:val="000000"/>
                <w:sz w:val="21"/>
                <w:szCs w:val="21"/>
                <w:highlight w:val="white"/>
                <w:lang w:val="en-US" w:eastAsia="zh-CN" w:bidi="ar"/>
              </w:rPr>
              <w:t xml:space="preserve">（</w:t>
            </w:r>
            <w:r>
              <w:rPr>
                <w:rFonts w:hint="eastAsia" w:ascii="仿宋" w:hAnsi="仿宋" w:eastAsia="仿宋" w:cs="仿宋"/>
                <w:b/>
                <w:bCs/>
                <w:color w:val="000000"/>
                <w:sz w:val="21"/>
                <w:szCs w:val="21"/>
                <w:highlight w:val="white"/>
                <w:lang w:bidi="ar"/>
              </w:rPr>
              <w:t xml:space="preserve">所属行业</w:t>
            </w:r>
            <w:r>
              <w:rPr>
                <w:rFonts w:hint="eastAsia" w:ascii="仿宋" w:hAnsi="仿宋" w:eastAsia="仿宋" w:cs="仿宋"/>
                <w:b/>
                <w:bCs/>
                <w:color w:val="000000"/>
                <w:sz w:val="21"/>
                <w:szCs w:val="21"/>
                <w:highlight w:val="white"/>
                <w:lang w:val="en-US" w:eastAsia="zh-CN" w:bidi="ar"/>
              </w:rPr>
              <w:t xml:space="preserve">）</w:t>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sz w:val="21"/>
                <w:szCs w:val="21"/>
                <w:highlight w:val="white"/>
              </w:rPr>
            </w:pPr>
            <w:r>
              <w:rPr>
                <w:rFonts w:hint="eastAsia" w:ascii="仿宋" w:hAnsi="仿宋" w:eastAsia="仿宋" w:cs="仿宋"/>
                <w:b/>
                <w:bCs/>
                <w:sz w:val="21"/>
                <w:szCs w:val="21"/>
                <w:highlight w:val="white"/>
              </w:rPr>
              <w:t xml:space="preserve">1</w:t>
            </w:r>
            <w:r>
              <w:rPr>
                <w:rFonts w:hint="eastAsia" w:ascii="仿宋" w:hAnsi="仿宋" w:eastAsia="仿宋" w:cs="仿宋"/>
                <w:b/>
                <w:bCs/>
                <w:sz w:val="21"/>
                <w:szCs w:val="21"/>
                <w:highlight w:val="white"/>
                <w:lang w:eastAsia="zh-CN"/>
              </w:rPr>
              <w:t xml:space="preserve">、</w:t>
            </w:r>
            <w:r/>
          </w:p>
        </w:tc>
        <w:tc>
          <w:tcPr>
            <w:shd w:val="clear" w:color="000000" w:fill="ffffff"/>
            <w:tcW w:w="2293" w:type="dxa"/>
            <w:vAlign w:val="center"/>
            <w:textDirection w:val="lrTb"/>
            <w:noWrap w:val="false"/>
          </w:tcPr>
          <w:p>
            <w:pPr>
              <w:jc w:val="center"/>
              <w:widowControl/>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 xml:space="preserve">设备部分</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sz w:val="21"/>
                <w:szCs w:val="21"/>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color w:val="000000"/>
                <w:sz w:val="21"/>
                <w:szCs w:val="21"/>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color w:val="000000"/>
                <w:sz w:val="21"/>
                <w:szCs w:val="21"/>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1）</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400W双目球-低功耗</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2）</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400W双镜头结构化-低功耗</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3）</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宋体" w:hAnsi="宋体" w:eastAsia="宋体" w:cs="宋体"/>
                <w:color w:val="000000"/>
                <w:highlight w:val="white"/>
              </w:rPr>
              <w:t xml:space="preserve">◆</w:t>
            </w:r>
            <w:r>
              <w:rPr>
                <w:rFonts w:hint="eastAsia" w:ascii="仿宋" w:hAnsi="仿宋" w:eastAsia="仿宋" w:cs="仿宋"/>
                <w:i w:val="0"/>
                <w:iCs w:val="0"/>
                <w:color w:val="000000"/>
                <w:sz w:val="21"/>
                <w:szCs w:val="21"/>
                <w:u w:val="none"/>
                <w:lang w:val="en-US" w:eastAsia="zh-CN" w:bidi="ar"/>
              </w:rPr>
              <w:t xml:space="preserve">400W双目球机</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4）</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400W双镜头结构化</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5）</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400W三向结构化</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6）</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太阳能供电套装</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7）</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硬盘录像机</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8）</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硬盘</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90"/>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lang w:val="en-US" w:eastAsia="zh-CN" w:bidi="ar"/>
              </w:rPr>
              <w:t xml:space="preserve">9）</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定向流量卡</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高速流量，保障正常使用需求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张</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10）</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抱杆箱</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详见“技术参数要求”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widowControl/>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 xml:space="preserve">2、</w:t>
            </w:r>
            <w:r/>
          </w:p>
        </w:tc>
        <w:tc>
          <w:tcPr>
            <w:shd w:val="clear" w:color="000000" w:fill="ffffff"/>
            <w:tcW w:w="2293" w:type="dxa"/>
            <w:vAlign w:val="center"/>
            <w:textDirection w:val="lrTb"/>
            <w:noWrap w:val="false"/>
          </w:tcPr>
          <w:p>
            <w:pPr>
              <w:jc w:val="center"/>
              <w:widowControl/>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 xml:space="preserve">材料部分</w:t>
            </w:r>
            <w:r/>
          </w:p>
        </w:tc>
        <w:tc>
          <w:tcPr>
            <w:shd w:val="clear" w:color="000000" w:fill="ffffff"/>
            <w:tcW w:w="2628" w:type="dxa"/>
            <w:vAlign w:val="center"/>
            <w:textDirection w:val="lrTb"/>
            <w:noWrap w:val="false"/>
          </w:tcPr>
          <w:p>
            <w:pPr>
              <w:jc w:val="left"/>
              <w:widowControl/>
              <w:rPr>
                <w:rFonts w:hint="eastAsia" w:ascii="仿宋" w:hAnsi="仿宋" w:eastAsia="仿宋" w:cs="仿宋"/>
                <w:sz w:val="21"/>
                <w:szCs w:val="21"/>
                <w:highlight w:val="white"/>
              </w:rPr>
            </w:pPr>
            <w:r>
              <w:rPr>
                <w:rFonts w:hint="eastAsia" w:ascii="仿宋" w:hAnsi="仿宋" w:eastAsia="仿宋" w:cs="仿宋"/>
                <w:sz w:val="21"/>
                <w:szCs w:val="21"/>
                <w:highlight w:val="white"/>
              </w:rPr>
            </w:r>
            <w:r/>
          </w:p>
        </w:tc>
        <w:tc>
          <w:tcPr>
            <w:shd w:val="clear" w:color="000000" w:fill="ffffff"/>
            <w:tcW w:w="816"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c>
          <w:tcPr>
            <w:shd w:val="clear" w:color="000000" w:fill="ffffff"/>
            <w:tcW w:w="876"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1）</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4.5米监控杆件（挑臂0.5～1米自行调节）</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详见杆件大样图；上部白色，下部2米公安蓝</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2）</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6.5米挑臂2米</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详见杆件大样图；上部白色，下部2米公安蓝</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3）</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6.5米挑臂4米</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详见杆件大样图；上部白色，下部2米公安蓝</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4）</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结构化相机安装组件</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结构化相机安装组件</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36 </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5）</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相机安装组件</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直径不小于60mm，做斜撑设计，热镀锌喷塑。长度（0.5m～3米）及安装高度根据现场环境调整，裸露线路均需采取PA尼龙管保护固定，需符合架设杆件所属部门的相关要求。</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non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6）</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球机安装支架</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定制</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7）</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电源线</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国标，RVV2×6.0mm²</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300</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8）</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电源线</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国标，RVV3×2.5mm²</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1845</w:t>
            </w:r>
            <w:r/>
          </w:p>
        </w:tc>
        <w:tc>
          <w:tcPr>
            <w:shd w:val="clear" w:color="000000" w:fill="ffffff"/>
            <w:tcW w:w="1620" w:type="dxa"/>
            <w:vAlign w:val="center"/>
            <w:textDirection w:val="lrTb"/>
            <w:noWrap w:val="false"/>
          </w:tcPr>
          <w:p>
            <w:pPr>
              <w:jc w:val="center"/>
              <w:widowControl/>
              <w:rPr>
                <w:rFonts w:hint="eastAsia" w:ascii="仿宋" w:hAnsi="仿宋" w:eastAsia="仿宋" w:cs="仿宋"/>
                <w:b/>
                <w:bCs/>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9）</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电源线</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国标，RVV3×0.75mm²</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1065</w:t>
            </w:r>
            <w:r/>
          </w:p>
        </w:tc>
        <w:tc>
          <w:tcPr>
            <w:shd w:val="clear" w:color="000000" w:fill="ffffff"/>
            <w:tcW w:w="1620" w:type="dxa"/>
            <w:vAlign w:val="center"/>
            <w:textDirection w:val="lrTb"/>
            <w:noWrap w:val="false"/>
          </w:tcPr>
          <w:p>
            <w:pPr>
              <w:jc w:val="center"/>
              <w:widowControl/>
              <w:rPr>
                <w:rFonts w:hint="eastAsia" w:ascii="仿宋" w:hAnsi="仿宋" w:eastAsia="仿宋" w:cs="仿宋"/>
                <w:b/>
                <w:bCs/>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10）</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网线</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国标，室外超六类线</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b/>
                <w:bCs/>
                <w:i w:val="0"/>
                <w:iCs w:val="0"/>
                <w:color w:val="000000"/>
                <w:sz w:val="21"/>
                <w:szCs w:val="21"/>
                <w:u w:val="none"/>
                <w:lang w:val="en-US" w:eastAsia="zh-CN" w:bidi="ar"/>
              </w:rPr>
              <w:t xml:space="preserve">1065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 xml:space="preserve">工业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3、</w:t>
            </w:r>
            <w:r/>
          </w:p>
        </w:tc>
        <w:tc>
          <w:tcPr>
            <w:shd w:val="clear" w:color="000000" w:fill="ffffff"/>
            <w:tcW w:w="2293"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基建部分</w:t>
            </w:r>
            <w:r/>
          </w:p>
        </w:tc>
        <w:tc>
          <w:tcPr>
            <w:shd w:val="clear" w:color="000000" w:fill="ffffff"/>
            <w:tcW w:w="2628" w:type="dxa"/>
            <w:vAlign w:val="center"/>
            <w:textDirection w:val="lrTb"/>
            <w:noWrap w:val="false"/>
          </w:tcPr>
          <w:p>
            <w:pPr>
              <w:jc w:val="left"/>
              <w:widowControl/>
              <w:rPr>
                <w:rFonts w:hint="eastAsia" w:ascii="仿宋" w:hAnsi="仿宋" w:eastAsia="仿宋" w:cs="仿宋"/>
                <w:sz w:val="21"/>
                <w:szCs w:val="21"/>
                <w:highlight w:val="white"/>
              </w:rPr>
            </w:pPr>
            <w:r>
              <w:rPr>
                <w:rFonts w:hint="eastAsia" w:ascii="仿宋" w:hAnsi="仿宋" w:eastAsia="仿宋" w:cs="仿宋"/>
                <w:sz w:val="21"/>
                <w:szCs w:val="21"/>
                <w:highlight w:val="white"/>
              </w:rPr>
            </w:r>
            <w:r/>
          </w:p>
        </w:tc>
        <w:tc>
          <w:tcPr>
            <w:shd w:val="clear" w:color="000000" w:fill="ffffff"/>
            <w:tcW w:w="816"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c>
          <w:tcPr>
            <w:shd w:val="clear" w:color="000000" w:fill="ffffff"/>
            <w:tcW w:w="876"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1）</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穿线井及井盖</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50cm*50cm*50cm，井盖上印有“公安专用”标志。</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只</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94</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2）</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开挖管道（不低于1孔）</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按《公安交通管理外场设备基础施工通用要求》，需满足现场实际需求，按实结算。</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915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3）</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6.5米杆件新增基础及预埋件含开挖及浇筑（含迁移杆件基础、地笼等）</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定制，接地阻值不大于10Ω，含原有杆件迁移施工前需测量原有杆件底盘，新增地笼，并拆除原有监控杆基础，要求路面平整、无钢筋裸露、无安全隐患。</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4）</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4.5米杆件新增基础及预埋件含开挖及浇筑（含迁移杆件基础、地笼等）</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定制，接地阻值不大于10Ω，含原有杆件迁移施工前需测量原有杆件底盘，新增地笼，并拆除原有监控杆基础，要求路面平整、无钢筋裸露、无安全隐患。</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套</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highlight w:val="white"/>
                <w:u w:val="none"/>
                <w:lang w:val="en-US" w:eastAsia="zh-CN" w:bidi="ar"/>
              </w:rPr>
              <w:t xml:space="preserve">5）</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线缆敷设</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按照《公安交通管理外场设备基础施工通用要求》实施</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i w:val="0"/>
                <w:iCs w:val="0"/>
                <w:color w:val="000000"/>
                <w:sz w:val="21"/>
                <w:szCs w:val="21"/>
                <w:u w:val="none"/>
                <w:lang w:val="en-US" w:eastAsia="zh-CN" w:bidi="ar"/>
              </w:rPr>
              <w:t xml:space="preserve">米</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b/>
                <w:bCs/>
                <w:i w:val="0"/>
                <w:iCs w:val="0"/>
                <w:color w:val="000000"/>
                <w:sz w:val="21"/>
                <w:szCs w:val="21"/>
                <w:u w:val="none"/>
                <w:lang w:val="en-US" w:eastAsia="zh-CN" w:bidi="ar"/>
              </w:rPr>
              <w:t xml:space="preserve">4275</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i w:val="0"/>
                <w:iCs w:val="0"/>
                <w:color w:val="auto"/>
                <w:sz w:val="21"/>
                <w:szCs w:val="21"/>
                <w:highlight w:val="white"/>
                <w:u w:val="none"/>
                <w:lang w:val="en-US" w:eastAsia="zh-CN" w:bidi="ar"/>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4、</w:t>
            </w:r>
            <w:r/>
          </w:p>
        </w:tc>
        <w:tc>
          <w:tcPr>
            <w:shd w:val="clear" w:color="000000" w:fill="ffffff"/>
            <w:tcW w:w="229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b/>
                <w:bCs/>
                <w:i w:val="0"/>
                <w:iCs w:val="0"/>
                <w:color w:val="000000"/>
                <w:sz w:val="21"/>
                <w:szCs w:val="21"/>
                <w:highlight w:val="white"/>
                <w:u w:val="none"/>
                <w:lang w:val="en-US" w:eastAsia="zh-CN" w:bidi="ar"/>
              </w:rPr>
              <w:t xml:space="preserve">其他配套部分</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sz w:val="21"/>
                <w:szCs w:val="21"/>
                <w:highlight w:val="white"/>
              </w:rPr>
              <w:suppressLineNumbers w:val="0"/>
            </w:pPr>
            <w:r>
              <w:rPr>
                <w:rFonts w:hint="eastAsia" w:ascii="仿宋" w:hAnsi="仿宋" w:eastAsia="仿宋" w:cs="仿宋"/>
                <w:sz w:val="21"/>
                <w:szCs w:val="21"/>
                <w:highlight w:val="white"/>
              </w:rPr>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white"/>
              </w:rPr>
              <w:suppressLineNumbers w:val="0"/>
            </w:pPr>
            <w:r>
              <w:rPr>
                <w:rFonts w:hint="eastAsia" w:ascii="仿宋" w:hAnsi="仿宋" w:eastAsia="仿宋" w:cs="仿宋"/>
                <w:color w:val="000000"/>
                <w:sz w:val="21"/>
                <w:szCs w:val="21"/>
                <w:highlight w:val="white"/>
              </w:rPr>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rPr>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lang w:val="en-US" w:eastAsia="zh-CN" w:bidi="ar"/>
              </w:rPr>
              <w:t xml:space="preserve">1）</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新增专线100M-3年</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不低于100M专线，确保路口各种设备能正常数据传输，视频不延迟、卡顿，含配套传输设备及端口等。</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条</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t xml:space="preserve">信息传输业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lang w:val="en-US" w:eastAsia="zh-CN" w:bidi="ar"/>
              </w:rPr>
              <w:t xml:space="preserve">2）</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新增供电开户</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含勘查、开户、施工、供电部门验收等所有费用，根据供电部门要求实施，以及开户点所需的顶管、埋管、电杆立杆、架空线缆、线缆敷设，主缆线径不低于6mm²等接入施工，保证路口用电电压正常、设备能正常运转。含3年前端设备使用电费。</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户</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29</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 xml:space="preserve">建筑业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lang w:val="en-US" w:eastAsia="zh-CN" w:bidi="ar"/>
              </w:rPr>
              <w:t xml:space="preserve">3）</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点位治理及软件接入</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本期所有前端感设备及配套</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000000" w:fill="ffffff"/>
            <w:tcW w:w="1620" w:type="dxa"/>
            <w:vAlign w:val="center"/>
            <w:textDirection w:val="lrTb"/>
            <w:noWrap w:val="false"/>
          </w:tcPr>
          <w:p>
            <w:pPr>
              <w:jc w:val="center"/>
              <w:widowControl/>
              <w:rPr>
                <w:rFonts w:hint="default" w:ascii="仿宋" w:hAnsi="仿宋" w:eastAsia="仿宋" w:cs="仿宋"/>
                <w:color w:val="000000"/>
                <w:sz w:val="21"/>
                <w:szCs w:val="21"/>
                <w:highlight w:val="white"/>
                <w:lang w:val="en-US" w:eastAsia="zh-CN"/>
              </w:rPr>
            </w:pPr>
            <w:r>
              <w:rPr>
                <w:rFonts w:hint="eastAsia" w:ascii="仿宋" w:hAnsi="仿宋" w:eastAsia="仿宋" w:cs="仿宋"/>
                <w:color w:val="000000"/>
                <w:sz w:val="21"/>
                <w:szCs w:val="21"/>
                <w:highlight w:val="white"/>
                <w:lang w:val="en-US" w:eastAsia="zh-CN"/>
              </w:rPr>
              <w:t xml:space="preserve">软件和信息技术服务业</w:t>
            </w:r>
            <w:r/>
          </w:p>
        </w:tc>
      </w:tr>
      <w:tr>
        <w:trPr>
          <w:trHeight w:val="301"/>
        </w:trPr>
        <w:tc>
          <w:tcPr>
            <w:shd w:val="clear" w:color="000000" w:fill="ffffff"/>
            <w:tcW w:w="67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highlight w:val="white"/>
                <w:u w:val="none"/>
                <w:lang w:val="en-US" w:eastAsia="zh-CN" w:bidi="ar"/>
              </w:rPr>
              <w:t xml:space="preserve">4）</w:t>
            </w:r>
            <w:r/>
          </w:p>
        </w:tc>
        <w:tc>
          <w:tcPr>
            <w:shd w:val="clear" w:color="000000" w:fill="ffffff"/>
            <w:tcW w:w="229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数字治理平台升级</w:t>
            </w:r>
            <w:r/>
          </w:p>
        </w:tc>
        <w:tc>
          <w:tcPr>
            <w:shd w:val="clear" w:color="000000" w:fill="ffffff"/>
            <w:tcW w:w="262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按要求对现有数字治理平台进行定制化开发维护升级</w:t>
            </w:r>
            <w:r/>
          </w:p>
        </w:tc>
        <w:tc>
          <w:tcPr>
            <w:shd w:val="clear" w:color="000000" w:fill="ffffff"/>
            <w:tcW w:w="8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p>
        </w:tc>
        <w:tc>
          <w:tcPr>
            <w:shd w:val="clear" w:color="000000" w:fill="ffffff"/>
            <w:tcW w:w="87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white"/>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000000" w:fill="ffffff"/>
            <w:tcW w:w="1620" w:type="dxa"/>
            <w:vAlign w:val="center"/>
            <w:textDirection w:val="lrTb"/>
            <w:noWrap w:val="false"/>
          </w:tcPr>
          <w:p>
            <w:pPr>
              <w:jc w:val="center"/>
              <w:widowControl/>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val="en-US" w:eastAsia="zh-CN"/>
              </w:rPr>
              <w:t xml:space="preserve">软件和信息技术服务业</w:t>
            </w:r>
            <w:r/>
          </w:p>
        </w:tc>
      </w:tr>
    </w:tbl>
    <w:p>
      <w:pPr>
        <w:pStyle w:val="686"/>
        <w:jc w:val="both"/>
        <w:spacing w:beforeAutospacing="0" w:afterAutospacing="0" w:line="0" w:lineRule="atLeast"/>
        <w:rPr>
          <w:rFonts w:hint="eastAsia" w:ascii="宋体" w:hAnsi="宋体" w:eastAsia="宋体" w:cs="宋体"/>
          <w:color w:val="4472c4" w:themeColor="accent5"/>
          <w:highlight w:val="white"/>
          <w14:textFill>
            <w14:solidFill>
              <w14:schemeClr w14:val="accent5"/>
            </w14:solidFill>
          </w14:textFill>
        </w:rPr>
      </w:pPr>
      <w:r>
        <w:rPr>
          <w:rFonts w:hint="eastAsia" w:ascii="宋体" w:hAnsi="宋体" w:eastAsia="宋体" w:cs="宋体"/>
          <w:color w:val="4472c4" w:themeColor="accent5"/>
          <w:highlight w:val="white"/>
          <w:lang w:val="en-US" w:eastAsia="zh-CN"/>
          <w14:textFill>
            <w14:solidFill>
              <w14:schemeClr w14:val="accent5"/>
            </w14:solidFill>
          </w14:textFill>
        </w:rPr>
        <w:t xml:space="preserve">注：</w:t>
      </w:r>
      <w:r>
        <w:rPr>
          <w:rFonts w:hint="eastAsia" w:ascii="宋体" w:hAnsi="宋体" w:eastAsia="宋体" w:cs="宋体"/>
          <w:color w:val="4472c4" w:themeColor="accent5"/>
          <w:highlight w:val="white"/>
          <w14:textFill>
            <w14:solidFill>
              <w14:schemeClr w14:val="accent5"/>
            </w14:solidFill>
          </w14:textFill>
        </w:rPr>
        <w:t xml:space="preserve">（1）</w:t>
      </w:r>
      <w:r>
        <w:rPr>
          <w:rFonts w:hint="eastAsia" w:ascii="宋体" w:hAnsi="宋体" w:eastAsia="宋体" w:cs="宋体"/>
          <w:b/>
          <w:bCs/>
          <w:color w:val="4472c4" w:themeColor="accent5"/>
          <w:highlight w:val="white"/>
          <w14:textFill>
            <w14:solidFill>
              <w14:schemeClr w14:val="accent5"/>
            </w14:solidFill>
          </w14:textFill>
        </w:rPr>
        <w:t xml:space="preserve">以上标注“◆”的产品核心产品</w:t>
      </w:r>
      <w:r>
        <w:rPr>
          <w:rFonts w:hint="eastAsia" w:ascii="宋体" w:hAnsi="宋体" w:eastAsia="宋体" w:cs="宋体"/>
          <w:color w:val="4472c4" w:themeColor="accent5"/>
          <w:highlight w:val="white"/>
          <w14:textFill>
            <w14:solidFill>
              <w14:schemeClr w14:val="accent5"/>
            </w14:solidFill>
          </w14:textFill>
        </w:rPr>
        <w:t xml:space="preserve">。</w:t>
      </w:r>
      <w:r/>
    </w:p>
    <w:p>
      <w:pPr>
        <w:pStyle w:val="686"/>
        <w:numPr>
          <w:ilvl w:val="0"/>
          <w:numId w:val="9"/>
        </w:numPr>
        <w:ind w:left="0"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最终结算总价=实际验收通过的数量*中标单价，中标单价无论在任何情况下都不予调整。</w:t>
      </w:r>
      <w:r/>
    </w:p>
    <w:p>
      <w:pPr>
        <w:pStyle w:val="686"/>
        <w:numPr>
          <w:ilvl w:val="0"/>
          <w:numId w:val="9"/>
        </w:numPr>
        <w:ind w:left="0" w:firstLine="480"/>
        <w:jc w:val="both"/>
        <w:spacing w:beforeAutospacing="0" w:afterAutospacing="0" w:line="0" w:lineRule="atLeas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该项目主要设备需无缝对接至市现有应用平台，包含与现有道路交通综合管控平台、视频图像信息应用等各类平台对接费用，采购人不另外支付任何费用，投标时须提供承诺函并加盖投标人公章（格式自行拟定），未提供的视为未实质性响应采购要求。</w:t>
      </w:r>
      <w:r/>
    </w:p>
    <w:p>
      <w:pPr>
        <w:pStyle w:val="686"/>
        <w:ind w:firstLine="480"/>
        <w:jc w:val="both"/>
        <w:spacing w:beforeAutospacing="0" w:afterAutospacing="0" w:line="0" w:lineRule="atLeas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highlight w:val="white"/>
          <w:lang w:val="en-US" w:eastAsia="zh-CN"/>
        </w:rPr>
        <w:t xml:space="preserve">技术参数及要求</w:t>
      </w:r>
      <w:r/>
    </w:p>
    <w:p>
      <w:pPr>
        <w:pStyle w:val="653"/>
        <w:ind w:right="0"/>
        <w:jc w:val="both"/>
        <w:pageBreakBefore w:val="0"/>
        <w:spacing w:before="0" w:beforeAutospacing="0" w:after="0" w:afterAutospacing="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东台市公安局海防监控点位建设项目</w:t>
      </w:r>
      <w:r/>
    </w:p>
    <w:p>
      <w:pPr>
        <w:pStyle w:val="653"/>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bidi="ar"/>
        </w:rPr>
        <w:t xml:space="preserve">（一）</w:t>
      </w:r>
      <w:r>
        <w:rPr>
          <w:rFonts w:hint="eastAsia" w:ascii="宋体" w:hAnsi="宋体" w:eastAsia="宋体" w:cs="宋体"/>
          <w:sz w:val="24"/>
          <w:szCs w:val="24"/>
        </w:rPr>
        <w:t xml:space="preserve">技术参数要求：</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1.</w:t>
      </w:r>
      <w:r>
        <w:rPr>
          <w:rFonts w:hint="eastAsia" w:ascii="宋体" w:hAnsi="宋体" w:eastAsia="宋体" w:cs="宋体"/>
          <w:sz w:val="24"/>
          <w:szCs w:val="24"/>
          <w:lang w:val="en-US" w:eastAsia="zh-CN"/>
        </w:rPr>
        <w:t xml:space="preserve">400W双目球-低功耗</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全景采用不低于400万像素1/1.8英寸CMOS传感器，细节采用不低于1/2.8英寸CMOS传感器，内置GPU芯片；</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最低照度：彩色：0.001ux，黑白：0.0001lux；</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内置不少于10颗补光灯；</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支持不低于32倍光学变倍，16倍数字变倍；</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支持绊线入侵、区域入侵、穿越围栏、徘徊、物品遗留、物品搬移、快速移动、停车、人员聚集检测；</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支持水平方向360°连续旋转，垂直方向-20°～90°自动翻转180°后连续监视；</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支持人脸检测、优选、抓拍、上报最优的人脸抓图、人脸增强、人脸属性提取；</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支持全景通道检测到且框出移动目标至细节通道摄像机开始转动的时间不大于0.2s；</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支持可检测两眼瞳距不少于20像素点的人脸目标,人脸目标检出率不小于</w:t>
      </w:r>
      <w:r>
        <w:rPr>
          <w:rFonts w:hint="eastAsia" w:ascii="宋体" w:hAnsi="宋体" w:eastAsia="宋体" w:cs="宋体"/>
          <w:sz w:val="24"/>
          <w:szCs w:val="24"/>
          <w:highlight w:val="none"/>
        </w:rPr>
        <w:t xml:space="preserve">99%；</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★设备支持手动或自动启动雨刷,当设置为自动雨刷时,雨量监测器监测到雨水时会自动开启雨刷,监测不到雨水后自动停止</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提供公安部检测报告或第三方检测机构出具的检测报告复印件加投标人公章</w:t>
      </w:r>
      <w:r>
        <w:rPr>
          <w:rFonts w:hint="eastAsia" w:ascii="宋体" w:hAnsi="宋体" w:eastAsia="宋体" w:cs="宋体"/>
          <w:b/>
          <w:bCs/>
          <w:sz w:val="24"/>
          <w:szCs w:val="24"/>
          <w:highlight w:val="none"/>
        </w:rPr>
        <w:t xml:space="preserve">）</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支持对镜头前盖玻璃加热,当环境温度和湿度达到阈值时,可自动开启镜头前盖玻璃加热功能,去除玻璃上的冰状和水状附着物；</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支持1路音频输入和1路音频输出，内置2路报警输入和1路报警输出，支持报警联动功能；</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支持IP66防护等级，6000V防雷、防浪涌和防突波保护；</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支持4G全网通；</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支持DC36V±25%宽电压输入；</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支持GB35114 A级加密。</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2.</w:t>
      </w:r>
      <w:r>
        <w:rPr>
          <w:rFonts w:hint="eastAsia" w:ascii="宋体" w:hAnsi="宋体" w:eastAsia="宋体" w:cs="宋体"/>
          <w:sz w:val="24"/>
          <w:szCs w:val="24"/>
          <w:lang w:val="en-US" w:eastAsia="zh-CN"/>
        </w:rPr>
        <w:t xml:space="preserve">400W双向结构化-低功耗</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双通道均采用不低于400万像素1/1.8英寸CMOS图像传感器，内置GPU芯片；</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最低照度：彩色：0.002lux；黑白：0.0002lux；</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内置不少于1个电动变焦镜头，镜头焦距8mm～32mm；</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设备2路通道均支持独立电动云台;通道一:垂直旋转范围:-5°~30°;水平旋转范围:0°~355°;通道二:垂直旋转范围:-5°~30°；</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双通道均支持视频结构化，支持机动车、非机动车、人脸、人员等目标的抓拍和属性识别；</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支持正向/背向行驶车辆抓拍，支持车牌、车牌颜色、车标、车系、车身颜色、车辆类型；</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内置扬声器和双麦克风；</w:t>
      </w:r>
      <w:r/>
    </w:p>
    <w:p>
      <w:pPr>
        <w:ind w:left="0" w:right="0" w:firstLine="48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提供公安部检测报告或第三方检测机构出具的检测报告复印件加投标人公章</w:t>
      </w:r>
      <w:r>
        <w:rPr>
          <w:rFonts w:hint="eastAsia" w:ascii="宋体" w:hAnsi="宋体" w:eastAsia="宋体" w:cs="宋体"/>
          <w:b/>
          <w:bCs/>
          <w:sz w:val="24"/>
          <w:szCs w:val="24"/>
          <w:highlight w:val="none"/>
        </w:rPr>
        <w:t xml:space="preserve">）</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支持GB35114 A级安全加密</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支持IP67防护等级</w:t>
      </w:r>
      <w:r/>
    </w:p>
    <w:p>
      <w:pPr>
        <w:ind w:left="0" w:right="0" w:firstLine="480"/>
        <w:pageBreakBefore w:val="0"/>
        <w:spacing w:beforeAutospacing="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支持DC12V供电方式</w:t>
      </w:r>
      <w:r>
        <w:rPr>
          <w:rFonts w:hint="eastAsia" w:ascii="宋体" w:hAnsi="宋体" w:eastAsia="宋体" w:cs="宋体"/>
          <w:sz w:val="24"/>
          <w:szCs w:val="24"/>
          <w:lang w:eastAsia="zh-CN"/>
        </w:rPr>
        <w:t xml:space="preserve">。</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highlight w:val="none"/>
        </w:rPr>
        <w:outlineLvl w:val="2"/>
      </w:pPr>
      <w:r>
        <w:rPr>
          <w:rFonts w:hint="default" w:ascii="宋体" w:hAnsi="宋体" w:eastAsia="宋体" w:cs="宋体"/>
          <w:b/>
          <w:bCs/>
          <w:sz w:val="24"/>
          <w:szCs w:val="24"/>
          <w:highlight w:val="none"/>
          <w:lang w:val="en-US" w:eastAsia="zh-CN" w:bidi="ar"/>
        </w:rPr>
        <w:t xml:space="preserve">3.</w:t>
      </w:r>
      <w:r>
        <w:rPr>
          <w:rFonts w:hint="eastAsia" w:ascii="宋体" w:hAnsi="宋体" w:eastAsia="宋体" w:cs="宋体"/>
          <w:sz w:val="24"/>
          <w:szCs w:val="24"/>
          <w:highlight w:val="none"/>
        </w:rPr>
        <w:t xml:space="preserve">400W</w:t>
      </w:r>
      <w:r>
        <w:rPr>
          <w:rFonts w:hint="eastAsia" w:ascii="宋体" w:hAnsi="宋体" w:eastAsia="宋体" w:cs="宋体"/>
          <w:sz w:val="24"/>
          <w:szCs w:val="24"/>
          <w:highlight w:val="none"/>
          <w:lang w:val="en-US" w:eastAsia="zh-CN"/>
        </w:rPr>
        <w:t xml:space="preserve">双目</w:t>
      </w:r>
      <w:r>
        <w:rPr>
          <w:rFonts w:hint="eastAsia" w:ascii="宋体" w:hAnsi="宋体" w:eastAsia="宋体" w:cs="宋体"/>
          <w:sz w:val="24"/>
          <w:szCs w:val="24"/>
          <w:highlight w:val="none"/>
        </w:rPr>
        <w:t xml:space="preserve">球机</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★设备内置2颗GPU芯片，由全景摄像机和细节摄像机组成，CMOS靶面尺寸均为1/1.8英寸，分辨率均不低于2688x1520；（投标文件中须提供有效的公安部认可的检测机构出具的检测报告影印件并加盖投标人公章）</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细节镜头支持32倍光学变倍</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在彩色模式下，当环境低照度降低至设定阈值，设备可自动开启白光灯补光，在白天、夜晚均可输出彩色视频图像；</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支持最低照度可达彩色0.0002lx，黑白0.0001lx；</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水平旋转范围为360°连续旋转，垂直旋转范围为-15°~90°；</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★设备内置不少于10颗补光灯；（投标文件中须提供有效的公安部认可的检测机构出具的检测报告影印件并加盖投标人公章）</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★支持人脸抓拍功能，可对经过设定区域的行人进行人脸检测和人脸跟踪，当检测到人脸后，可抓拍人脸图片；（投标文件中须提供有效的公安部认可的检测机构出具的检测报告影印件并加盖投标人公章）</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支持智能红外、透雾、强光抑制、电子防抖、数字降噪、防红外过曝功能；</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支持H.264、H.265、MJPEG视频编码格式，且具有High Profile编码能力；</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同一场景相同图像质量下设备在H.264或H.265编码时，开启智能编码和不开启智能编码相比，码率节约≥9/10；</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支持对镜头前盖玻璃加热，去除玻璃上的冰状和水状附着物；</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支持GB35114 A级安全加密；</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支持IP67，6kV防浪涌；</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采用DC36V供电。</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4.</w:t>
      </w:r>
      <w:r>
        <w:rPr>
          <w:rFonts w:hint="eastAsia" w:ascii="宋体" w:hAnsi="宋体" w:eastAsia="宋体" w:cs="宋体"/>
          <w:sz w:val="24"/>
          <w:szCs w:val="24"/>
        </w:rPr>
        <w:t xml:space="preserve">400W双</w:t>
      </w:r>
      <w:r>
        <w:rPr>
          <w:rFonts w:hint="eastAsia" w:ascii="宋体" w:hAnsi="宋体" w:eastAsia="宋体" w:cs="宋体"/>
          <w:sz w:val="24"/>
          <w:szCs w:val="24"/>
          <w:lang w:val="en-US" w:eastAsia="zh-CN"/>
        </w:rPr>
        <w:t xml:space="preserve">镜头</w:t>
      </w:r>
      <w:r>
        <w:rPr>
          <w:rFonts w:hint="eastAsia" w:ascii="宋体" w:hAnsi="宋体" w:eastAsia="宋体" w:cs="宋体"/>
          <w:sz w:val="24"/>
          <w:szCs w:val="24"/>
        </w:rPr>
        <w:t xml:space="preserve">结构化</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双通道均采用不低于400万像素1/1.8英寸CMOS图像传感器，内置GPU芯片；</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最低照度：彩色：0.002lux；黑白：0.0002lux；</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内置不少于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个电动变焦镜头，镜头焦距8mm～32mm；</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设备2路通道均支持独立电动云台;通道一:垂直旋转范围:-5°~30°;水平旋转范围:0°~355°;通道二:垂直旋转范围:-5°~30°；</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双通道均支持视频结构化，支持机动车、非机动车、人脸、人员等目标的抓拍和属性识别；</w:t>
      </w:r>
      <w:r/>
    </w:p>
    <w:p>
      <w:pPr>
        <w:ind w:left="0" w:right="0" w:firstLine="48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提供公安部检测报告或第三方检测机构出具的检测报告复印件加投标人公章</w:t>
      </w:r>
      <w:r>
        <w:rPr>
          <w:rFonts w:hint="eastAsia" w:ascii="宋体" w:hAnsi="宋体" w:eastAsia="宋体" w:cs="宋体"/>
          <w:b/>
          <w:bCs/>
          <w:sz w:val="24"/>
          <w:szCs w:val="24"/>
          <w:highlight w:val="none"/>
        </w:rPr>
        <w:t xml:space="preserve">）</w:t>
      </w:r>
      <w:r/>
    </w:p>
    <w:p>
      <w:pPr>
        <w:ind w:left="0" w:right="0" w:firstLine="48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提供公安部检测报告或第三方检测机构出具的检测报告复印件加投标人公章</w:t>
      </w:r>
      <w:r>
        <w:rPr>
          <w:rFonts w:hint="eastAsia" w:ascii="宋体" w:hAnsi="宋体" w:eastAsia="宋体" w:cs="宋体"/>
          <w:b/>
          <w:bCs/>
          <w:sz w:val="24"/>
          <w:szCs w:val="24"/>
          <w:highlight w:val="none"/>
        </w:rPr>
        <w:t xml:space="preserve">）</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内置扬声器和双麦克风；</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支持绊线入侵、区域入侵、物品遗留、快速移动、停车检测、人员聚集、物品搬移、徘徊检测；</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内置水平仪,可检测样机是否水平状态；</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支持GB35114 A级安全加密</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支持IP67防护等级</w:t>
      </w:r>
      <w:r/>
    </w:p>
    <w:p>
      <w:pPr>
        <w:ind w:left="0" w:right="0" w:firstLine="480"/>
        <w:pageBreakBefore w:val="0"/>
        <w:spacing w:beforeAutospacing="0" w:afterAutospacing="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支持DC12V供电方式</w:t>
      </w:r>
      <w:r>
        <w:rPr>
          <w:rFonts w:hint="eastAsia" w:ascii="宋体" w:hAnsi="宋体" w:eastAsia="宋体" w:cs="宋体"/>
          <w:sz w:val="24"/>
          <w:szCs w:val="24"/>
          <w:highlight w:val="none"/>
          <w:lang w:eastAsia="zh-CN"/>
        </w:rPr>
        <w:t xml:space="preserve">。</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5.</w:t>
      </w:r>
      <w:r>
        <w:rPr>
          <w:rFonts w:hint="eastAsia" w:ascii="宋体" w:hAnsi="宋体" w:eastAsia="宋体" w:cs="宋体"/>
          <w:sz w:val="24"/>
          <w:szCs w:val="24"/>
        </w:rPr>
        <w:t xml:space="preserve">400W三向结构化</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三通道均采用不低于400万像素1/1.8英寸CMOS图像传感器，内置GPU芯片；</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最低照度：彩色：0.001lux；黑白0.0001lux；</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内置不少于3个电动变焦镜头，全景：8mm～32mm，细节：5.4mm～135mm；</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支持同时对2路全景和1路细节视频监控画面中的机动车、非机动车、人员中的一种或者多种目标进行抓拍及属性检测,并支持人脸、机动车、非机动车的抓拍去重；</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全景通道1、全景通道2、细节通道均可进行水平和垂直方向调节,全景通道1进行水平、垂直调节时,全景通道2可保持不动,全景通道1和全景通道2分别进行水平、垂直调节时,细节通道可保持不动；</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全景通道支持水平旋转范围:0°~240°垂直旋转范围:-30°~90°，细节通道支持水平旋转范围:0°~360°垂直旋转范围:-30°-90°；</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具有混合抓拍模式,可分别或同时对2路全景通道和1路细节通道视频画面中的行人、非机动车、机动车进行检测、跟踪、抓拍,支持人脸、机动车车牌、非机动车车牌的抠图,可将人脸与人体、车牌与车辆关联显示；</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支持硬件微引导程序、uboot、OS、应用软件逐级校验功能,非法篡改的uboot、OS、应用软件固件包,不能通过命令行、浏览器、客户端方式进行升级；</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支持固件安全检验功能,uboot应采用加密存储,通过离线烧写存储器方式写入的uboot执行程序,不能被硬件微引导程序加载执行；</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支持手动雨刷功能；</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支持IP67防护等级，6000V防雷、防浪涌和防突波保护</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支持DC36V±25%宽电压输入</w:t>
      </w:r>
      <w:r/>
    </w:p>
    <w:p>
      <w:pPr>
        <w:ind w:left="0" w:right="0" w:firstLine="480"/>
        <w:pageBreakBefore w:val="0"/>
        <w:spacing w:beforeAutospacing="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支持GB35114 A级加密</w:t>
      </w:r>
      <w:r>
        <w:rPr>
          <w:rFonts w:hint="eastAsia" w:ascii="宋体" w:hAnsi="宋体" w:eastAsia="宋体" w:cs="宋体"/>
          <w:sz w:val="24"/>
          <w:szCs w:val="24"/>
          <w:lang w:eastAsia="zh-CN"/>
        </w:rPr>
        <w:t xml:space="preserve">。</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6.</w:t>
      </w:r>
      <w:r>
        <w:rPr>
          <w:rFonts w:hint="eastAsia" w:ascii="宋体" w:hAnsi="宋体" w:eastAsia="宋体" w:cs="宋体"/>
          <w:sz w:val="24"/>
          <w:szCs w:val="24"/>
        </w:rPr>
        <w:t xml:space="preserve">太阳能</w:t>
      </w:r>
      <w:r>
        <w:rPr>
          <w:rFonts w:hint="eastAsia" w:ascii="宋体" w:hAnsi="宋体" w:eastAsia="宋体" w:cs="宋体"/>
          <w:sz w:val="24"/>
          <w:szCs w:val="24"/>
          <w:lang w:val="en-US" w:eastAsia="zh-CN"/>
        </w:rPr>
        <w:t xml:space="preserve">供电</w:t>
      </w:r>
      <w:r>
        <w:rPr>
          <w:rFonts w:hint="eastAsia" w:ascii="宋体" w:hAnsi="宋体" w:eastAsia="宋体" w:cs="宋体"/>
          <w:sz w:val="24"/>
          <w:szCs w:val="24"/>
        </w:rPr>
        <w:t xml:space="preserve">套装</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一、套装不少于2块太阳能板、1台太阳能控制柜、1套太阳能板安装支架、2块蓄电池、1套蓄电池箱</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二、太阳能板技术参数：</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电池片类型：单晶硅；</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最大功率：≥275W；</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工作电压：≥37.02V；</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工作电流：≥7.43A；</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短路电流：≥8.67A；</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开路电压：≥44.92V；</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最大机械载荷：正面5400Pa/背面2400Pa；</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冲击强度：IK07；</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工作温度：-40℃～+80℃；</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三、太阳能控制柜技术参数：</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系统输出电压12VDC/24VDC自动识别。</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最大功率点跟踪技术（MPPT），最大功率点跟踪效率&gt;99.9%。</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采用先进的数字电源技术，电路能量转换效率高达98%。</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配置高清液晶动态显示屏，可视化操作。</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系统电压自动识别，支持液体，胶体，AGM及锂电等多种电池类型。</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支持过流、过压、短路、过温保护机制。</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配置3路断路器、防雷器，接线调试安全可靠。</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支持抱箍安装，适用于直径150mm~240mm立杆。</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内置风扇，自动温控，高温启动散热。</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预留逆变器安装位置，实现AC220逆变输出。</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四、太阳能板安装支架：</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Q235钢材质、冷镀锌防腐处理；</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安装倾角可实现10°、20°、30°、40°、50°调节，以满足不同纬度地区使用；</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支持抱箍安装，适用于直径150mm~220mm立杆；</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五、蓄电池技术参数：</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额定容量≥150Ah，额定电压≥D12V</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阀控式免维护设计，寿命期间无需加水或加酸</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浮充和循环使用寿命长,自放电低</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采用特殊合金板栅(AGM)，适合深循环放电</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端子式接口，方便接线</w:t>
      </w:r>
      <w:r/>
    </w:p>
    <w:p>
      <w:pPr>
        <w:ind w:left="0" w:right="0" w:firstLine="48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六、蓄电池箱技术参数：</w:t>
      </w:r>
      <w:r/>
    </w:p>
    <w:p>
      <w:pPr>
        <w:ind w:left="0" w:right="0" w:firstLine="480"/>
        <w:pageBreakBefore w:val="0"/>
        <w:spacing w:beforeAutospacing="0" w:afterAutospacing="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最大可放2个200 Ah电池</w:t>
      </w:r>
      <w:r>
        <w:rPr>
          <w:rFonts w:hint="eastAsia" w:ascii="宋体" w:hAnsi="宋体" w:eastAsia="宋体" w:cs="宋体"/>
          <w:sz w:val="24"/>
          <w:szCs w:val="24"/>
          <w:highlight w:val="none"/>
          <w:lang w:eastAsia="zh-CN"/>
        </w:rPr>
        <w:t xml:space="preserve">；</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lang w:val="en-US" w:eastAsia="zh-CN"/>
        </w:rPr>
        <w:outlineLvl w:val="2"/>
      </w:pPr>
      <w:r>
        <w:rPr>
          <w:rFonts w:hint="default" w:ascii="宋体" w:hAnsi="宋体" w:eastAsia="宋体" w:cs="宋体"/>
          <w:b/>
          <w:bCs/>
          <w:sz w:val="24"/>
          <w:szCs w:val="24"/>
          <w:lang w:val="en-US" w:eastAsia="zh-CN" w:bidi="ar"/>
        </w:rPr>
        <w:t xml:space="preserve">7.</w:t>
      </w:r>
      <w:r>
        <w:rPr>
          <w:rFonts w:hint="eastAsia" w:ascii="宋体" w:hAnsi="宋体" w:eastAsia="宋体" w:cs="宋体"/>
          <w:sz w:val="24"/>
          <w:szCs w:val="24"/>
          <w:lang w:val="en-US" w:eastAsia="zh-CN"/>
        </w:rPr>
        <w:t xml:space="preserve">硬盘录像机</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支持WEB、本地GUI界面操作</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开源鸿蒙操作系统</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支持最大16路网络视频接入，网络性能256Mbps接入、256Mbps储存、256Mbps转发</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可接驳支持ONVIF、RTSP协议的第三方摄像机和主流品牌摄像机</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支持16M/12M/8M/6M/5M/4M/3M/1080P/960P/720PIPC分辨率接入</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支持1个SATA接口，可插入2.5寸SSD硬盘使用</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支持8路报警输入。1-4路开关量信号接口 </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支持4路报警继电器输出（含1路受控DC12V输出），可配置报警事件联动继电器状态</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rPr>
        <w:t xml:space="preserve">4路RS485</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rPr>
        <w:t xml:space="preserve">1路12V 1A对外供电输出</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rPr>
        <w:t xml:space="preserve">2个USB2.0接口</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rPr>
        <w:t xml:space="preserve">2个千兆以太网口。支持2个不同段IP地址的IPC设备接入；支持将多网口设置同一个IP地址，实现数据链路冗余</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支持VGA、HDMI异源输出，HDMI视频输出分辨率最高达4K</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支持移动、电信、联通4G网络接入，标配2根3米延长线的外置天线</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支持-20℃～+60℃工作环境温度</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支持关闭部分软硬件模块以降低设备功耗，支持按时间计划进入休眠状态和被唤醒，支持通过外部报警输入方式唤醒休眠中的设备</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lang w:val="en-US" w:eastAsia="zh-CN"/>
        </w:rPr>
        <w:outlineLvl w:val="2"/>
      </w:pPr>
      <w:r>
        <w:rPr>
          <w:rFonts w:hint="default" w:ascii="宋体" w:hAnsi="宋体" w:eastAsia="宋体" w:cs="宋体"/>
          <w:b/>
          <w:bCs/>
          <w:sz w:val="24"/>
          <w:szCs w:val="24"/>
          <w:lang w:val="en-US" w:eastAsia="zh-CN" w:bidi="ar"/>
        </w:rPr>
        <w:t xml:space="preserve">8.</w:t>
      </w:r>
      <w:r>
        <w:rPr>
          <w:rFonts w:hint="eastAsia" w:ascii="宋体" w:hAnsi="宋体" w:eastAsia="宋体" w:cs="宋体"/>
          <w:sz w:val="24"/>
          <w:szCs w:val="24"/>
          <w:lang w:val="en-US" w:eastAsia="zh-CN"/>
        </w:rPr>
        <w:t xml:space="preserve">硬盘</w:t>
      </w:r>
      <w:r/>
    </w:p>
    <w:p>
      <w:pPr>
        <w:pStyle w:val="850"/>
        <w:ind w:left="0" w:right="0" w:firstLine="480"/>
        <w:pageBreakBefore w:val="0"/>
        <w:spacing w:before="0" w:beforeAutospacing="0" w:after="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1、2.5英寸SATA接口SSD，容量</w:t>
      </w:r>
      <w:r>
        <w:rPr>
          <w:rFonts w:hint="eastAsia" w:ascii="宋体" w:hAnsi="宋体" w:eastAsia="宋体" w:cs="宋体"/>
          <w:sz w:val="24"/>
          <w:szCs w:val="24"/>
          <w:lang w:val="en-US" w:eastAsia="zh-CN"/>
        </w:rPr>
        <w:t xml:space="preserve">不低于1</w:t>
      </w:r>
      <w:r>
        <w:rPr>
          <w:rFonts w:hint="eastAsia" w:ascii="宋体" w:hAnsi="宋体" w:eastAsia="宋体" w:cs="宋体"/>
          <w:sz w:val="24"/>
          <w:szCs w:val="24"/>
          <w:lang w:eastAsia="zh-CN"/>
        </w:rPr>
        <w:t xml:space="preserve">TB，</w:t>
      </w:r>
      <w:r>
        <w:rPr>
          <w:rFonts w:hint="eastAsia" w:ascii="宋体" w:hAnsi="宋体" w:eastAsia="宋体" w:cs="宋体"/>
          <w:sz w:val="24"/>
          <w:szCs w:val="24"/>
          <w:lang w:val="en-US" w:eastAsia="zh-CN"/>
        </w:rPr>
        <w:t xml:space="preserve">根据现场实际情况自行调节，满足视频存储30天</w:t>
      </w:r>
      <w:r>
        <w:rPr>
          <w:rFonts w:hint="eastAsia" w:ascii="宋体" w:hAnsi="宋体" w:eastAsia="宋体" w:cs="宋体"/>
          <w:sz w:val="24"/>
          <w:szCs w:val="24"/>
          <w:lang w:eastAsia="zh-CN"/>
        </w:rPr>
        <w:t xml:space="preserve">；</w:t>
      </w:r>
      <w:r/>
    </w:p>
    <w:p>
      <w:pPr>
        <w:pStyle w:val="850"/>
        <w:ind w:left="0" w:right="0" w:firstLine="480"/>
        <w:pageBreakBefore w:val="0"/>
        <w:spacing w:before="0" w:beforeAutospacing="0" w:after="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2、适用宽温环境，能在-40℃～+85℃温度范围内正常工作；</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9.</w:t>
      </w:r>
      <w:r>
        <w:rPr>
          <w:rFonts w:hint="eastAsia" w:ascii="宋体" w:hAnsi="宋体" w:eastAsia="宋体" w:cs="宋体"/>
          <w:sz w:val="24"/>
          <w:szCs w:val="24"/>
        </w:rPr>
        <w:t xml:space="preserve">定向流</w:t>
      </w:r>
      <w:r>
        <w:rPr>
          <w:rFonts w:hint="eastAsia" w:ascii="宋体" w:hAnsi="宋体" w:eastAsia="宋体" w:cs="宋体"/>
          <w:sz w:val="24"/>
          <w:szCs w:val="24"/>
          <w:lang w:val="en-US" w:eastAsia="zh-CN"/>
        </w:rPr>
        <w:t xml:space="preserve">量卡</w:t>
      </w:r>
      <w:r/>
    </w:p>
    <w:p>
      <w:pPr>
        <w:ind w:left="0" w:right="0" w:firstLine="480"/>
        <w:pageBreakBefore w:val="0"/>
        <w:spacing w:beforeAutospacing="0" w:afterAutospacing="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高速流量，保障正常使用需求。</w:t>
      </w:r>
      <w:r/>
    </w:p>
    <w:p>
      <w:pPr>
        <w:pStyle w:val="654"/>
        <w:numPr>
          <w:ilvl w:val="0"/>
          <w:numId w:val="0"/>
        </w:numPr>
        <w:ind w:left="0" w:right="0" w:firstLine="482"/>
        <w:keepLines/>
        <w:keepNext/>
        <w:pageBreakBefore w:val="0"/>
        <w:spacing w:before="0" w:beforeAutospacing="0" w:after="0" w:afterAutospacing="0" w:line="440" w:lineRule="exact"/>
        <w:widowControl w:val="off"/>
        <w:rPr>
          <w:rFonts w:hint="eastAsia" w:ascii="宋体" w:hAnsi="宋体" w:eastAsia="宋体" w:cs="宋体"/>
          <w:b/>
          <w:sz w:val="24"/>
          <w:szCs w:val="24"/>
        </w:rPr>
        <w:outlineLvl w:val="2"/>
      </w:pPr>
      <w:r>
        <w:rPr>
          <w:rFonts w:hint="default" w:ascii="宋体" w:hAnsi="宋体" w:eastAsia="宋体" w:cs="宋体"/>
          <w:b/>
          <w:bCs/>
          <w:sz w:val="24"/>
          <w:szCs w:val="24"/>
          <w:lang w:val="en-US" w:eastAsia="zh-CN" w:bidi="ar"/>
        </w:rPr>
        <w:t xml:space="preserve">10.</w:t>
      </w:r>
      <w:r>
        <w:rPr>
          <w:rFonts w:hint="eastAsia" w:ascii="宋体" w:hAnsi="宋体" w:eastAsia="宋体" w:cs="宋体"/>
          <w:b/>
          <w:sz w:val="24"/>
          <w:szCs w:val="24"/>
        </w:rPr>
        <w:t xml:space="preserve">抱杆箱</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箱体材料：镀锌钢板，板材厚度≥1.2mm；</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箱体尺寸：≥3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0(宽)*</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0(高)*2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0(深)mm；</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箱体外观：静电喷塑，颜色、标识根据实际需求定制；</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安装方式：满足抱箍、壁挂或落地安装；</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进线方式：底部或背部进线；</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电源配置：三眼插座2个，二眼插座2个，接地线段子5个，电子式自动重合闸保护器；额定电流；10-16A可选；漏流动作电流；30mA；漏电不动作电流；15mA漏流动作时间：≤0.1s合闸前具有检测功能。</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防雷接地：防雷接地电阻小于10欧姆，电气工作接地电阻小于4欧姆。</w:t>
      </w:r>
      <w:r/>
    </w:p>
    <w:p>
      <w:pPr>
        <w:ind w:left="0" w:right="0" w:firstLine="48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网络传输单元：含1个工业级光口千兆交换机（交换机具备上行10/100/1000M光速率光模块端口，含光模块；下行具备10/100/1000M自适应以太网口，光口及电口需要满足本工程实际需要）</w:t>
      </w:r>
      <w:r/>
    </w:p>
    <w:p>
      <w:pPr>
        <w:ind w:left="0" w:right="0" w:firstLine="480"/>
        <w:jc w:val="left"/>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箱体内部需集成化设计，按需求配置</w:t>
      </w:r>
      <w:r>
        <w:rPr>
          <w:rFonts w:hint="eastAsia" w:ascii="宋体" w:hAnsi="宋体" w:eastAsia="宋体" w:cs="宋体"/>
          <w:b/>
          <w:bCs/>
          <w:sz w:val="24"/>
          <w:szCs w:val="24"/>
        </w:rPr>
        <w:t xml:space="preserve">具备管理功能</w:t>
      </w:r>
      <w:r>
        <w:rPr>
          <w:rFonts w:hint="eastAsia" w:ascii="宋体" w:hAnsi="宋体" w:eastAsia="宋体" w:cs="宋体"/>
          <w:sz w:val="24"/>
          <w:szCs w:val="24"/>
        </w:rPr>
        <w:t xml:space="preserve">的工业级交换机（光口及电口需要满足本工程实际需要），同时预留设备安装空间；</w:t>
      </w:r>
      <w:r/>
    </w:p>
    <w:p>
      <w:pPr>
        <w:ind w:left="0" w:right="0" w:firstLine="480"/>
        <w:jc w:val="left"/>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箱体需配套二维码一体化设计，对接数字治理平台，实现扫码点位数据同步更新、点位现场绑定，对接警用PGIS地图，实现点位精准上图。</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11.</w:t>
      </w:r>
      <w:r>
        <w:rPr>
          <w:rFonts w:hint="eastAsia" w:ascii="宋体" w:hAnsi="宋体" w:eastAsia="宋体" w:cs="宋体"/>
          <w:sz w:val="24"/>
          <w:szCs w:val="24"/>
        </w:rPr>
        <w:t xml:space="preserve">专用光纤链路</w:t>
      </w:r>
      <w:r>
        <w:rPr>
          <w:rFonts w:hint="eastAsia" w:ascii="宋体" w:hAnsi="宋体" w:eastAsia="宋体" w:cs="宋体"/>
          <w:sz w:val="24"/>
          <w:szCs w:val="24"/>
          <w:lang w:val="en-US" w:eastAsia="zh-CN"/>
        </w:rPr>
        <w:t xml:space="preserve">-100M</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p>
    <w:p>
      <w:pPr>
        <w:ind w:left="0" w:right="0" w:firstLine="480"/>
        <w:jc w:val="left"/>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sz w:val="24"/>
          <w:szCs w:val="24"/>
        </w:rPr>
        <w:t xml:space="preserve">不低于100M专线，确保路口各种设备能正常数据传输，视频不延迟、卡顿，含配套传输设备及端口等。</w:t>
      </w:r>
      <w:r/>
    </w:p>
    <w:p>
      <w:pPr>
        <w:pStyle w:val="654"/>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2"/>
      </w:pPr>
      <w:r>
        <w:rPr>
          <w:rFonts w:hint="default" w:ascii="宋体" w:hAnsi="宋体" w:eastAsia="宋体" w:cs="宋体"/>
          <w:b/>
          <w:bCs/>
          <w:sz w:val="24"/>
          <w:szCs w:val="24"/>
          <w:lang w:val="en-US" w:eastAsia="zh-CN" w:bidi="ar"/>
        </w:rPr>
        <w:t xml:space="preserve">12.</w:t>
      </w:r>
      <w:r>
        <w:rPr>
          <w:rFonts w:hint="eastAsia" w:ascii="宋体" w:hAnsi="宋体" w:eastAsia="宋体" w:cs="宋体"/>
          <w:sz w:val="24"/>
          <w:szCs w:val="24"/>
        </w:rPr>
        <w:t xml:space="preserve">点位治理</w:t>
      </w:r>
      <w:r>
        <w:rPr>
          <w:rFonts w:hint="eastAsia" w:ascii="宋体" w:hAnsi="宋体" w:eastAsia="宋体" w:cs="宋体"/>
          <w:sz w:val="24"/>
          <w:szCs w:val="24"/>
          <w:lang w:val="en-US" w:eastAsia="zh-CN"/>
        </w:rPr>
        <w:t xml:space="preserve">及软件接入</w:t>
      </w:r>
      <w:r/>
    </w:p>
    <w:p>
      <w:pPr>
        <w:ind w:left="0" w:right="0" w:firstLine="480"/>
        <w:pageBreakBefore w:val="0"/>
        <w:spacing w:beforeAutospacing="0" w:afterAutospacing="0"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包含：1、本期所有点位的信息治理，通过前端扫码绑定设备与杆件，录入设备与杆件档案信息，拍摄现场照片，采集互联网及警务PGIS经纬度等一系列治理工作；2、数字治理平台接入授权。</w:t>
      </w:r>
      <w:r>
        <w:rPr>
          <w:rFonts w:hint="eastAsia" w:ascii="宋体" w:hAnsi="宋体" w:eastAsia="宋体" w:cs="宋体"/>
          <w:sz w:val="24"/>
          <w:szCs w:val="24"/>
          <w:lang w:val="en-US" w:eastAsia="zh-CN"/>
        </w:rPr>
        <w:t xml:space="preserve">3、其他应配置的人脸或车辆授权</w:t>
      </w:r>
      <w:r/>
    </w:p>
    <w:p>
      <w:pPr>
        <w:pStyle w:val="653"/>
        <w:numPr>
          <w:ilvl w:val="0"/>
          <w:numId w:val="0"/>
        </w:numPr>
        <w:ind w:left="0" w:right="0" w:firstLine="482"/>
        <w:pageBreakBefore w:val="0"/>
        <w:spacing w:before="0" w:beforeAutospacing="0" w:after="0" w:afterAutospacing="0" w:line="440" w:lineRule="exact"/>
        <w:rPr>
          <w:rFonts w:hint="eastAsia" w:ascii="宋体" w:hAnsi="宋体" w:eastAsia="宋体" w:cs="宋体"/>
          <w:sz w:val="24"/>
          <w:szCs w:val="24"/>
        </w:rPr>
        <w:outlineLvl w:val="1"/>
      </w:pPr>
      <w:r>
        <w:rPr>
          <w:rFonts w:hint="eastAsia" w:ascii="宋体" w:hAnsi="宋体" w:eastAsia="宋体" w:cs="宋体"/>
          <w:b/>
          <w:bCs/>
          <w:sz w:val="24"/>
          <w:szCs w:val="24"/>
          <w:lang w:val="en-US" w:eastAsia="zh-CN" w:bidi="ar"/>
        </w:rPr>
        <w:t xml:space="preserve">（二）</w:t>
      </w:r>
      <w:r>
        <w:rPr>
          <w:rFonts w:hint="eastAsia" w:ascii="宋体" w:hAnsi="宋体" w:eastAsia="宋体" w:cs="宋体"/>
          <w:sz w:val="24"/>
          <w:szCs w:val="24"/>
        </w:rPr>
        <w:t xml:space="preserve">建设依据</w:t>
      </w:r>
      <w:r/>
    </w:p>
    <w:p>
      <w:pPr>
        <w:ind w:left="0" w:right="0" w:firstLine="480"/>
        <w:jc w:val="left"/>
        <w:pageBreakBefore w:val="0"/>
        <w:spacing w:beforeAutospacing="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本项目根据东台市公安局的实际需求与具体条件，提出目前现阶段系统的建设方案，依据国家相关法律规章、国家和行业相关政策依据和技术标准、相关研究成果等资料进行可研编制，具体如下：</w:t>
      </w:r>
      <w:r/>
    </w:p>
    <w:p>
      <w:pPr>
        <w:pStyle w:val="652"/>
        <w:numPr>
          <w:ilvl w:val="0"/>
          <w:numId w:val="0"/>
        </w:numPr>
        <w:ind w:left="0" w:right="0" w:firstLine="482"/>
        <w:keepLines/>
        <w:keepNext/>
        <w:pageBreakBefore w:val="0"/>
        <w:spacing w:before="0" w:beforeAutospacing="0" w:after="0" w:afterAutospacing="0" w:line="440" w:lineRule="exact"/>
        <w:widowControl w:val="off"/>
        <w:rPr>
          <w:rFonts w:hint="eastAsia" w:ascii="宋体" w:hAnsi="宋体" w:eastAsia="宋体" w:cs="宋体"/>
          <w:sz w:val="24"/>
          <w:szCs w:val="24"/>
          <w:highlight w:val="none"/>
        </w:rPr>
        <w:outlineLvl w:val="0"/>
      </w:pPr>
      <w:r/>
      <w:bookmarkStart w:id="186" w:name="_Toc18789"/>
      <w:r/>
      <w:bookmarkStart w:id="187" w:name="_Toc31584"/>
      <w:r>
        <w:rPr>
          <w:rFonts w:hint="default" w:ascii="宋体" w:hAnsi="宋体" w:eastAsia="宋体" w:cs="宋体"/>
          <w:b/>
          <w:bCs/>
          <w:sz w:val="24"/>
          <w:szCs w:val="24"/>
          <w:lang w:val="en-US" w:eastAsia="zh-CN" w:bidi="ar"/>
        </w:rPr>
        <w:t xml:space="preserve">1.</w:t>
      </w:r>
      <w:r>
        <w:rPr>
          <w:rFonts w:hint="eastAsia" w:ascii="宋体" w:hAnsi="宋体" w:eastAsia="宋体" w:cs="宋体"/>
          <w:sz w:val="24"/>
          <w:szCs w:val="24"/>
          <w:highlight w:val="none"/>
          <w:lang w:val="en-US" w:eastAsia="zh-CN"/>
        </w:rPr>
        <w:t xml:space="preserve">国家法规政策</w:t>
      </w:r>
      <w:bookmarkEnd w:id="186"/>
      <w:r/>
      <w:bookmarkEnd w:id="187"/>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《中华人民共和国国民经济和社会发展第十四个五年规划和2035年远景目标纲要》</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《公安信息化建设“十四五”规划》</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《“十四五”公安视频图像信息系统建设任务书》</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《公安视频图像智能化建设应用指南》（公科信〔2020〕48号）</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highlight w:val="none"/>
        </w:rPr>
        <w:t xml:space="preserve">《2023年度全国公安科信部门信息化建设与运维管理考核指标及测评方法》</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highlight w:val="none"/>
        </w:rPr>
        <w:t xml:space="preserve">《关于启动公安视频监控安全防护设施试点建设工作的通知》</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(7)</w:t>
      </w:r>
      <w:r>
        <w:rPr>
          <w:rFonts w:hint="eastAsia" w:ascii="宋体" w:hAnsi="宋体" w:eastAsia="宋体" w:cs="宋体"/>
          <w:sz w:val="24"/>
          <w:szCs w:val="24"/>
          <w:highlight w:val="none"/>
        </w:rPr>
        <w:t xml:space="preserve">《全省公安机关“苏警数智”行动工作方案》</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(8)</w:t>
      </w:r>
      <w:r>
        <w:rPr>
          <w:rFonts w:hint="eastAsia" w:ascii="宋体" w:hAnsi="宋体" w:eastAsia="宋体" w:cs="宋体"/>
          <w:sz w:val="24"/>
          <w:szCs w:val="24"/>
          <w:highlight w:val="none"/>
        </w:rPr>
        <w:t xml:space="preserve">《全省智能泛在感知网平台联动服务五类接口设计方案》</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(9)</w:t>
      </w:r>
      <w:r>
        <w:rPr>
          <w:rFonts w:hint="eastAsia" w:ascii="宋体" w:hAnsi="宋体" w:eastAsia="宋体" w:cs="宋体"/>
          <w:sz w:val="24"/>
          <w:szCs w:val="24"/>
          <w:highlight w:val="none"/>
        </w:rPr>
        <w:t xml:space="preserve">《全省公安人像档案建设及省市级联技术指南》</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(10)</w:t>
      </w:r>
      <w:r>
        <w:rPr>
          <w:rFonts w:hint="eastAsia" w:ascii="宋体" w:hAnsi="宋体" w:eastAsia="宋体" w:cs="宋体"/>
          <w:sz w:val="24"/>
          <w:szCs w:val="24"/>
          <w:highlight w:val="none"/>
        </w:rPr>
        <w:t xml:space="preserve">《全省公安视频图像数据治理工作方案》</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(11)</w:t>
      </w:r>
      <w:r>
        <w:rPr>
          <w:rFonts w:hint="eastAsia" w:ascii="宋体" w:hAnsi="宋体" w:eastAsia="宋体" w:cs="宋体"/>
          <w:sz w:val="24"/>
          <w:szCs w:val="24"/>
          <w:highlight w:val="none"/>
        </w:rPr>
        <w:t xml:space="preserve">《全省智能泛在感知网建设应用系列技术指南——数据接入建设（试行）》（苏公数据传发</w:t>
      </w:r>
      <w:r>
        <w:rPr>
          <w:rFonts w:hint="eastAsia" w:ascii="宋体" w:hAnsi="宋体" w:eastAsia="宋体" w:cs="宋体"/>
          <w:sz w:val="24"/>
          <w:szCs w:val="24"/>
          <w:highlight w:val="none"/>
          <w:lang w:eastAsia="zh-CN"/>
        </w:rPr>
        <w:t xml:space="preserve">〔2020〕80号</w:t>
      </w:r>
      <w:r>
        <w:rPr>
          <w:rFonts w:hint="eastAsia" w:ascii="宋体" w:hAnsi="宋体" w:eastAsia="宋体" w:cs="宋体"/>
          <w:sz w:val="24"/>
          <w:szCs w:val="24"/>
          <w:highlight w:val="none"/>
        </w:rPr>
        <w:t xml:space="preserve">附件一）</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(12)</w:t>
      </w:r>
      <w:r>
        <w:rPr>
          <w:rFonts w:hint="eastAsia" w:ascii="宋体" w:hAnsi="宋体" w:eastAsia="宋体" w:cs="宋体"/>
          <w:sz w:val="24"/>
          <w:szCs w:val="24"/>
          <w:highlight w:val="none"/>
        </w:rPr>
        <w:t xml:space="preserve">《全省智能泛在感知网建设应用系列技术指南——1400协议扩展（试行）》（苏公数据传发</w:t>
      </w:r>
      <w:r>
        <w:rPr>
          <w:rFonts w:hint="eastAsia" w:ascii="宋体" w:hAnsi="宋体" w:eastAsia="宋体" w:cs="宋体"/>
          <w:sz w:val="24"/>
          <w:szCs w:val="24"/>
          <w:highlight w:val="none"/>
          <w:lang w:eastAsia="zh-CN"/>
        </w:rPr>
        <w:t xml:space="preserve">〔2020〕80号</w:t>
      </w:r>
      <w:r>
        <w:rPr>
          <w:rFonts w:hint="eastAsia" w:ascii="宋体" w:hAnsi="宋体" w:eastAsia="宋体" w:cs="宋体"/>
          <w:sz w:val="24"/>
          <w:szCs w:val="24"/>
          <w:highlight w:val="none"/>
        </w:rPr>
        <w:t xml:space="preserve">附件二）</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公共安全视频监控联网信息安全技术要求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实施技术指南》</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(14)</w:t>
      </w:r>
      <w:r>
        <w:rPr>
          <w:rFonts w:hint="eastAsia" w:ascii="宋体" w:hAnsi="宋体" w:eastAsia="宋体" w:cs="宋体"/>
          <w:sz w:val="24"/>
          <w:szCs w:val="24"/>
          <w:highlight w:val="none"/>
        </w:rPr>
        <w:t xml:space="preserve">《关于规范推进公安视频图像智能化应用建设的通知》（公科信〔2019〕36号）</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(15)</w:t>
      </w:r>
      <w:r>
        <w:rPr>
          <w:rFonts w:hint="eastAsia" w:ascii="宋体" w:hAnsi="宋体" w:eastAsia="宋体" w:cs="宋体"/>
          <w:sz w:val="24"/>
          <w:szCs w:val="24"/>
          <w:highlight w:val="none"/>
        </w:rPr>
        <w:t xml:space="preserve">《关于加强公安大数据智能化建设应用的指导意见》</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(16)</w:t>
      </w:r>
      <w:r>
        <w:rPr>
          <w:rFonts w:hint="eastAsia" w:ascii="宋体" w:hAnsi="宋体" w:eastAsia="宋体" w:cs="宋体"/>
          <w:sz w:val="24"/>
          <w:szCs w:val="24"/>
          <w:highlight w:val="none"/>
        </w:rPr>
        <w:t xml:space="preserve">《全国公安机关社会治安防控体系建设指南（试行）》</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(17)</w:t>
      </w:r>
      <w:r>
        <w:rPr>
          <w:rFonts w:hint="eastAsia" w:ascii="宋体" w:hAnsi="宋体" w:eastAsia="宋体" w:cs="宋体"/>
          <w:sz w:val="24"/>
          <w:szCs w:val="24"/>
          <w:highlight w:val="none"/>
        </w:rPr>
        <w:t xml:space="preserve">《江苏沿海地区发展规划（2021-2025 年）》</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(18)</w:t>
      </w:r>
      <w:r>
        <w:rPr>
          <w:rFonts w:hint="eastAsia" w:ascii="宋体" w:hAnsi="宋体" w:eastAsia="宋体" w:cs="宋体"/>
          <w:sz w:val="24"/>
          <w:szCs w:val="24"/>
          <w:highlight w:val="none"/>
        </w:rPr>
        <w:t xml:space="preserve">《盐城市海洋经济高质量发展三年行动计划》（2024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2026年）</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东台市</w:t>
      </w:r>
      <w:r>
        <w:rPr>
          <w:rFonts w:hint="eastAsia" w:ascii="宋体" w:hAnsi="宋体" w:eastAsia="宋体" w:cs="宋体"/>
          <w:sz w:val="24"/>
          <w:szCs w:val="24"/>
          <w:highlight w:val="none"/>
        </w:rPr>
        <w:t xml:space="preserve">国土空间总体规划（2021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2035年）》</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(20)</w:t>
      </w:r>
      <w:r>
        <w:rPr>
          <w:rFonts w:hint="eastAsia" w:ascii="宋体" w:hAnsi="宋体" w:eastAsia="宋体" w:cs="宋体"/>
          <w:sz w:val="24"/>
          <w:szCs w:val="24"/>
          <w:highlight w:val="none"/>
        </w:rPr>
        <w:t xml:space="preserve">《中华人民共和国网络安全法》</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(21)</w:t>
      </w:r>
      <w:r>
        <w:rPr>
          <w:rFonts w:hint="eastAsia" w:ascii="宋体" w:hAnsi="宋体" w:eastAsia="宋体" w:cs="宋体"/>
          <w:sz w:val="24"/>
          <w:szCs w:val="24"/>
          <w:highlight w:val="none"/>
        </w:rPr>
        <w:t xml:space="preserve">《中华人民共和国数据安全法》</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(22)</w:t>
      </w:r>
      <w:r>
        <w:rPr>
          <w:rFonts w:hint="eastAsia" w:ascii="宋体" w:hAnsi="宋体" w:eastAsia="宋体" w:cs="宋体"/>
          <w:sz w:val="24"/>
          <w:szCs w:val="24"/>
          <w:highlight w:val="none"/>
        </w:rPr>
        <w:t xml:space="preserve">《中华人民共和国个人信息保护法》</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(23)</w:t>
      </w:r>
      <w:r>
        <w:rPr>
          <w:rFonts w:hint="eastAsia" w:ascii="宋体" w:hAnsi="宋体" w:eastAsia="宋体" w:cs="宋体"/>
          <w:sz w:val="24"/>
          <w:szCs w:val="24"/>
          <w:highlight w:val="none"/>
        </w:rPr>
        <w:t xml:space="preserve">《中华人民共和国密码法》</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(24)</w:t>
      </w:r>
      <w:r>
        <w:rPr>
          <w:rFonts w:hint="eastAsia" w:ascii="宋体" w:hAnsi="宋体" w:eastAsia="宋体" w:cs="宋体"/>
          <w:sz w:val="24"/>
          <w:szCs w:val="24"/>
          <w:highlight w:val="none"/>
        </w:rPr>
        <w:t xml:space="preserve">《信息安全技术 网络安全等级保护基本要求》GB/T 22239-2019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(25)</w:t>
      </w:r>
      <w:r>
        <w:rPr>
          <w:rFonts w:hint="eastAsia" w:ascii="宋体" w:hAnsi="宋体" w:eastAsia="宋体" w:cs="宋体"/>
          <w:sz w:val="24"/>
          <w:szCs w:val="24"/>
          <w:highlight w:val="none"/>
        </w:rPr>
        <w:t xml:space="preserve">《公共安全视频图像信息系统管理条例》中华人民共和国国务院799号令-2025</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(26)</w:t>
      </w:r>
      <w:r>
        <w:rPr>
          <w:rFonts w:hint="eastAsia" w:ascii="宋体" w:hAnsi="宋体" w:eastAsia="宋体" w:cs="宋体"/>
          <w:sz w:val="24"/>
          <w:szCs w:val="24"/>
          <w:highlight w:val="none"/>
        </w:rPr>
        <w:t xml:space="preserve">中华人民共和国国务院令（第 809 号）《政务数据共享条例》</w:t>
      </w:r>
      <w:r/>
    </w:p>
    <w:p>
      <w:pPr>
        <w:pStyle w:val="652"/>
        <w:numPr>
          <w:ilvl w:val="0"/>
          <w:numId w:val="0"/>
        </w:numPr>
        <w:ind w:left="0" w:right="0" w:firstLine="482"/>
        <w:keepLines/>
        <w:keepNext/>
        <w:pageBreakBefore w:val="0"/>
        <w:spacing w:before="0" w:beforeAutospacing="0" w:after="0" w:afterAutospacing="0" w:line="440" w:lineRule="exact"/>
        <w:widowControl w:val="off"/>
        <w:rPr>
          <w:rFonts w:hint="eastAsia" w:ascii="宋体" w:hAnsi="宋体" w:eastAsia="宋体" w:cs="宋体"/>
          <w:sz w:val="24"/>
          <w:szCs w:val="24"/>
          <w:highlight w:val="none"/>
          <w:lang w:val="en-US" w:eastAsia="zh-CN"/>
        </w:rPr>
        <w:outlineLvl w:val="0"/>
      </w:pPr>
      <w:r/>
      <w:bookmarkStart w:id="188" w:name="_Toc176818656"/>
      <w:r/>
      <w:bookmarkStart w:id="189" w:name="_Toc23528"/>
      <w:r/>
      <w:bookmarkStart w:id="190" w:name="_Toc166318258"/>
      <w:r>
        <w:rPr>
          <w:rFonts w:hint="default" w:ascii="宋体" w:hAnsi="宋体" w:eastAsia="宋体" w:cs="宋体"/>
          <w:b/>
          <w:bCs/>
          <w:sz w:val="24"/>
          <w:szCs w:val="24"/>
          <w:lang w:val="en-US" w:eastAsia="zh-CN" w:bidi="ar"/>
        </w:rPr>
        <w:t xml:space="preserve">2.</w:t>
      </w:r>
      <w:r>
        <w:rPr>
          <w:rFonts w:hint="eastAsia" w:ascii="宋体" w:hAnsi="宋体" w:eastAsia="宋体" w:cs="宋体"/>
          <w:sz w:val="24"/>
          <w:szCs w:val="24"/>
          <w:highlight w:val="none"/>
          <w:lang w:val="en-US" w:eastAsia="zh-CN"/>
        </w:rPr>
        <w:t xml:space="preserve"> </w:t>
      </w:r>
      <w:bookmarkStart w:id="191" w:name="_Toc14049"/>
      <w:r>
        <w:rPr>
          <w:rFonts w:hint="eastAsia" w:ascii="宋体" w:hAnsi="宋体" w:eastAsia="宋体" w:cs="宋体"/>
          <w:sz w:val="24"/>
          <w:szCs w:val="24"/>
          <w:highlight w:val="none"/>
          <w:lang w:val="en-US" w:eastAsia="zh-CN"/>
        </w:rPr>
        <w:t xml:space="preserve">标准规范依据</w:t>
      </w:r>
      <w:bookmarkEnd w:id="188"/>
      <w:r/>
      <w:bookmarkEnd w:id="189"/>
      <w:r/>
      <w:bookmarkEnd w:id="190"/>
      <w:r/>
      <w:bookmarkEnd w:id="191"/>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《公共安全视频监控联网信息安全技术要求》（GB35114-2017）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《公共安全视频监控数字视音频编解码技术要求》（GB/T25724-2017）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《公共安全视频监控联网系统信息传输、交换、控制技术要求》（GB/T28181-2022）</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《公共安全重点区域视频图像信息采集规范》（GB37300-2018）</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highlight w:val="none"/>
        </w:rPr>
        <w:t xml:space="preserve">《公共安全社会视频资源安全联网设备技术要求》（GA/T1781-2021）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highlight w:val="none"/>
        </w:rPr>
        <w:t xml:space="preserve">《公安视频图像信息系统安全技术要求 第1部分：通用要求》（GA/T1788.1-2021）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(7)</w:t>
      </w:r>
      <w:r>
        <w:rPr>
          <w:rFonts w:hint="eastAsia" w:ascii="宋体" w:hAnsi="宋体" w:eastAsia="宋体" w:cs="宋体"/>
          <w:sz w:val="24"/>
          <w:szCs w:val="24"/>
          <w:highlight w:val="none"/>
        </w:rPr>
        <w:t xml:space="preserve">《公安视频图像信息系统安全技术要求 第2部分：前端设备》（GA/T1788.2-2021）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(8)</w:t>
      </w:r>
      <w:r>
        <w:rPr>
          <w:rFonts w:hint="eastAsia" w:ascii="宋体" w:hAnsi="宋体" w:eastAsia="宋体" w:cs="宋体"/>
          <w:sz w:val="24"/>
          <w:szCs w:val="24"/>
          <w:highlight w:val="none"/>
        </w:rPr>
        <w:t xml:space="preserve">《公安视频图像信息系统安全技术要求 第3部分：安全交互》（GA/T1788.3-2021）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(9)</w:t>
      </w:r>
      <w:r>
        <w:rPr>
          <w:rFonts w:hint="eastAsia" w:ascii="宋体" w:hAnsi="宋体" w:eastAsia="宋体" w:cs="宋体"/>
          <w:sz w:val="24"/>
          <w:szCs w:val="24"/>
          <w:highlight w:val="none"/>
        </w:rPr>
        <w:t xml:space="preserve">《公共安全视频图像分析多算法应用技术要求》（T/CSPIA 005-2021）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(10)</w:t>
      </w:r>
      <w:r>
        <w:rPr>
          <w:rFonts w:hint="eastAsia" w:ascii="宋体" w:hAnsi="宋体" w:eastAsia="宋体" w:cs="宋体"/>
          <w:sz w:val="24"/>
          <w:szCs w:val="24"/>
          <w:highlight w:val="none"/>
        </w:rPr>
        <w:t xml:space="preserve">《公安视频图像分析系统第1部分：通用技术要求》（GA/T 1399.1-2017）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(11)</w:t>
      </w:r>
      <w:r>
        <w:rPr>
          <w:rFonts w:hint="eastAsia" w:ascii="宋体" w:hAnsi="宋体" w:eastAsia="宋体" w:cs="宋体"/>
          <w:sz w:val="24"/>
          <w:szCs w:val="24"/>
          <w:highlight w:val="none"/>
        </w:rPr>
        <w:t xml:space="preserve">《公安视频图像分析系统第2部分：视频图像内容分析及描述技术要求》（GA/T 1399.2-2017）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(12)</w:t>
      </w:r>
      <w:r>
        <w:rPr>
          <w:rFonts w:hint="eastAsia" w:ascii="宋体" w:hAnsi="宋体" w:eastAsia="宋体" w:cs="宋体"/>
          <w:sz w:val="24"/>
          <w:szCs w:val="24"/>
          <w:highlight w:val="none"/>
        </w:rPr>
        <w:t xml:space="preserve">《公安视频图像信息应用系统 第1部分：通用技术要求》（GA/T 1400.1-2017）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(13)</w:t>
      </w:r>
      <w:r>
        <w:rPr>
          <w:rFonts w:hint="eastAsia" w:ascii="宋体" w:hAnsi="宋体" w:eastAsia="宋体" w:cs="宋体"/>
          <w:sz w:val="24"/>
          <w:szCs w:val="24"/>
          <w:highlight w:val="none"/>
        </w:rPr>
        <w:t xml:space="preserve">《公安视频图像信息应用系统 第2部分：应用平台技术要求》（GA/T 1400.2-2017）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(14)</w:t>
      </w:r>
      <w:r>
        <w:rPr>
          <w:rFonts w:hint="eastAsia" w:ascii="宋体" w:hAnsi="宋体" w:eastAsia="宋体" w:cs="宋体"/>
          <w:sz w:val="24"/>
          <w:szCs w:val="24"/>
          <w:highlight w:val="none"/>
        </w:rPr>
        <w:t xml:space="preserve">《公安视频图像信息应用系统 第3部分：数据库技术要求》（GA/T 1400.3-2017）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(15)</w:t>
      </w:r>
      <w:r>
        <w:rPr>
          <w:rFonts w:hint="eastAsia" w:ascii="宋体" w:hAnsi="宋体" w:eastAsia="宋体" w:cs="宋体"/>
          <w:sz w:val="24"/>
          <w:szCs w:val="24"/>
          <w:highlight w:val="none"/>
        </w:rPr>
        <w:t xml:space="preserve">《公安视频图像信息应用系统 第4部分：接口协议要求》（GA/T 1400.4-2017）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(16)</w:t>
      </w:r>
      <w:r>
        <w:rPr>
          <w:rFonts w:hint="eastAsia" w:ascii="宋体" w:hAnsi="宋体" w:eastAsia="宋体" w:cs="宋体"/>
          <w:sz w:val="24"/>
          <w:szCs w:val="24"/>
          <w:highlight w:val="none"/>
        </w:rPr>
        <w:t xml:space="preserve">《安全防范工程技术标准》（GB 50348-2018）</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(17)</w:t>
      </w:r>
      <w:r>
        <w:rPr>
          <w:rFonts w:hint="eastAsia" w:ascii="宋体" w:hAnsi="宋体" w:eastAsia="宋体" w:cs="宋体"/>
          <w:sz w:val="24"/>
          <w:szCs w:val="24"/>
          <w:highlight w:val="none"/>
        </w:rPr>
        <w:t xml:space="preserve">《住宅小区安全防范系统通用技术要求》（GB/T 21741-2021）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(18)</w:t>
      </w:r>
      <w:r>
        <w:rPr>
          <w:rFonts w:hint="eastAsia" w:ascii="宋体" w:hAnsi="宋体" w:eastAsia="宋体" w:cs="宋体"/>
          <w:sz w:val="24"/>
          <w:szCs w:val="24"/>
          <w:highlight w:val="none"/>
        </w:rPr>
        <w:t xml:space="preserve">《视频安防监控系统工程设计规范》（GB 50395-2007）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(19)</w:t>
      </w:r>
      <w:r>
        <w:rPr>
          <w:rFonts w:hint="eastAsia" w:ascii="宋体" w:hAnsi="宋体" w:eastAsia="宋体" w:cs="宋体"/>
          <w:sz w:val="24"/>
          <w:szCs w:val="24"/>
          <w:highlight w:val="none"/>
        </w:rPr>
        <w:t xml:space="preserve">《数据中心设计规范》（GB 50174-2017）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(20)</w:t>
      </w:r>
      <w:r>
        <w:rPr>
          <w:rFonts w:hint="eastAsia" w:ascii="宋体" w:hAnsi="宋体" w:eastAsia="宋体" w:cs="宋体"/>
          <w:sz w:val="24"/>
          <w:szCs w:val="24"/>
          <w:highlight w:val="none"/>
        </w:rPr>
        <w:t xml:space="preserve">《公共安全视频监控数字视音频编解码技术要求》（GB/T 25724-2017）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(21)</w:t>
      </w:r>
      <w:r>
        <w:rPr>
          <w:rFonts w:hint="eastAsia" w:ascii="宋体" w:hAnsi="宋体" w:eastAsia="宋体" w:cs="宋体"/>
          <w:sz w:val="24"/>
          <w:szCs w:val="24"/>
          <w:highlight w:val="none"/>
        </w:rPr>
        <w:t xml:space="preserve">《道路交通安全违法行为视频取证设备技术规范》（GA/T995-2020）</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(22)</w:t>
      </w:r>
      <w:r>
        <w:rPr>
          <w:rFonts w:hint="eastAsia" w:ascii="宋体" w:hAnsi="宋体" w:eastAsia="宋体" w:cs="宋体"/>
          <w:sz w:val="24"/>
          <w:szCs w:val="24"/>
          <w:highlight w:val="none"/>
        </w:rPr>
        <w:t xml:space="preserve">《闯红灯自动记录系统通用技术条件》（GA/T496-2014）</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(23)</w:t>
      </w:r>
      <w:r>
        <w:rPr>
          <w:rFonts w:hint="eastAsia" w:ascii="宋体" w:hAnsi="宋体" w:eastAsia="宋体" w:cs="宋体"/>
          <w:sz w:val="24"/>
          <w:szCs w:val="24"/>
          <w:highlight w:val="none"/>
        </w:rPr>
        <w:t xml:space="preserve">《道路交通安全违法行为图像取证技术规范》（GA/T 832-2014）</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(24)</w:t>
      </w:r>
      <w:r>
        <w:rPr>
          <w:rFonts w:hint="eastAsia" w:ascii="宋体" w:hAnsi="宋体" w:eastAsia="宋体" w:cs="宋体"/>
          <w:sz w:val="24"/>
          <w:szCs w:val="24"/>
          <w:highlight w:val="none"/>
        </w:rPr>
        <w:t xml:space="preserve">《机动车号牌图像自动识别技术规范》（GA/T 833-2016）</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(25)</w:t>
      </w:r>
      <w:r>
        <w:rPr>
          <w:rFonts w:hint="eastAsia" w:ascii="宋体" w:hAnsi="宋体" w:eastAsia="宋体" w:cs="宋体"/>
          <w:sz w:val="24"/>
          <w:szCs w:val="24"/>
          <w:highlight w:val="none"/>
        </w:rPr>
        <w:t xml:space="preserve">《道路车辆智能检测记录系统通用技术条件》（GA/T 497-2016）</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(26)</w:t>
      </w:r>
      <w:r>
        <w:rPr>
          <w:rFonts w:hint="eastAsia" w:ascii="宋体" w:hAnsi="宋体" w:eastAsia="宋体" w:cs="宋体"/>
          <w:sz w:val="24"/>
          <w:szCs w:val="24"/>
          <w:highlight w:val="none"/>
        </w:rPr>
        <w:t xml:space="preserve">《安防监控视频实时智能分析设备技术要求》（GB/T 30147-2013）</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(27)</w:t>
      </w:r>
      <w:r>
        <w:rPr>
          <w:rFonts w:hint="eastAsia" w:ascii="宋体" w:hAnsi="宋体" w:eastAsia="宋体" w:cs="宋体"/>
          <w:sz w:val="24"/>
          <w:szCs w:val="24"/>
          <w:highlight w:val="none"/>
        </w:rPr>
        <w:t xml:space="preserve">《安全防范视频监控人脸识别系统技术要求》（GB/T 31488-2015）</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(28)</w:t>
      </w:r>
      <w:r>
        <w:rPr>
          <w:rFonts w:hint="eastAsia" w:ascii="宋体" w:hAnsi="宋体" w:eastAsia="宋体" w:cs="宋体"/>
          <w:sz w:val="24"/>
          <w:szCs w:val="24"/>
          <w:highlight w:val="none"/>
        </w:rPr>
        <w:t xml:space="preserve">《信息安全技术—信息安全等级保护定级指南》（GB/T 22240-2020）</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(29)</w:t>
      </w:r>
      <w:r>
        <w:rPr>
          <w:rFonts w:hint="eastAsia" w:ascii="宋体" w:hAnsi="宋体" w:eastAsia="宋体" w:cs="宋体"/>
          <w:sz w:val="24"/>
          <w:szCs w:val="24"/>
          <w:highlight w:val="none"/>
        </w:rPr>
        <w:t xml:space="preserve">《信息安全技术网络安全等级保护实施指南》（GB/T 25058-2019）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(30)</w:t>
      </w:r>
      <w:r>
        <w:rPr>
          <w:rFonts w:hint="eastAsia" w:ascii="宋体" w:hAnsi="宋体" w:eastAsia="宋体" w:cs="宋体"/>
          <w:sz w:val="24"/>
          <w:szCs w:val="24"/>
          <w:highlight w:val="none"/>
        </w:rPr>
        <w:t xml:space="preserve">《信息安全技术网络安全等级保护基本要求》（GB/T 22239-2019）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(31)</w:t>
      </w:r>
      <w:r>
        <w:rPr>
          <w:rFonts w:hint="eastAsia" w:ascii="宋体" w:hAnsi="宋体" w:eastAsia="宋体" w:cs="宋体"/>
          <w:sz w:val="24"/>
          <w:szCs w:val="24"/>
          <w:highlight w:val="none"/>
        </w:rPr>
        <w:t xml:space="preserve">《信息安全技术网络安全等级保护测评要求》（GB/T 28448-2019）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(32)</w:t>
      </w:r>
      <w:r>
        <w:rPr>
          <w:rFonts w:hint="eastAsia" w:ascii="宋体" w:hAnsi="宋体" w:eastAsia="宋体" w:cs="宋体"/>
          <w:sz w:val="24"/>
          <w:szCs w:val="24"/>
          <w:highlight w:val="none"/>
        </w:rPr>
        <w:t xml:space="preserve">《信息安全技术网络安全等级保护安全设计技术要求》（GB/T 25070-2019）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(33)</w:t>
      </w:r>
      <w:r>
        <w:rPr>
          <w:rFonts w:hint="eastAsia" w:ascii="宋体" w:hAnsi="宋体" w:eastAsia="宋体" w:cs="宋体"/>
          <w:sz w:val="24"/>
          <w:szCs w:val="24"/>
          <w:highlight w:val="none"/>
        </w:rPr>
        <w:t xml:space="preserve">中华人民共和国国务院令（第 809 号）《政务数据共享条例》</w:t>
      </w:r>
      <w:r/>
    </w:p>
    <w:p>
      <w:pPr>
        <w:pStyle w:val="652"/>
        <w:numPr>
          <w:ilvl w:val="0"/>
          <w:numId w:val="0"/>
        </w:numPr>
        <w:ind w:left="0" w:right="0" w:firstLine="482"/>
        <w:keepLines/>
        <w:keepNext/>
        <w:pageBreakBefore w:val="0"/>
        <w:spacing w:before="0" w:beforeAutospacing="0" w:after="0" w:afterAutospacing="0" w:line="440" w:lineRule="exact"/>
        <w:widowControl w:val="off"/>
        <w:rPr>
          <w:rFonts w:hint="eastAsia" w:ascii="宋体" w:hAnsi="宋体" w:eastAsia="宋体" w:cs="宋体"/>
          <w:sz w:val="24"/>
          <w:szCs w:val="24"/>
          <w:highlight w:val="none"/>
          <w:lang w:val="en-US" w:eastAsia="zh-CN"/>
        </w:rPr>
        <w:outlineLvl w:val="0"/>
      </w:pPr>
      <w:r/>
      <w:bookmarkStart w:id="192" w:name="_Toc25054"/>
      <w:r>
        <w:rPr>
          <w:rFonts w:hint="default" w:ascii="宋体" w:hAnsi="宋体" w:eastAsia="宋体" w:cs="宋体"/>
          <w:b/>
          <w:bCs/>
          <w:sz w:val="24"/>
          <w:szCs w:val="24"/>
          <w:lang w:val="en-US" w:eastAsia="zh-CN" w:bidi="ar"/>
        </w:rPr>
        <w:t xml:space="preserve">3.</w:t>
      </w:r>
      <w:r>
        <w:rPr>
          <w:rFonts w:hint="eastAsia" w:ascii="宋体" w:hAnsi="宋体" w:eastAsia="宋体" w:cs="宋体"/>
          <w:sz w:val="24"/>
          <w:szCs w:val="24"/>
          <w:highlight w:val="none"/>
          <w:lang w:val="en-US" w:eastAsia="zh-CN"/>
        </w:rPr>
        <w:t xml:space="preserve"> </w:t>
      </w:r>
      <w:bookmarkStart w:id="193" w:name="_Toc27830"/>
      <w:r>
        <w:rPr>
          <w:rFonts w:hint="eastAsia" w:ascii="宋体" w:hAnsi="宋体" w:eastAsia="宋体" w:cs="宋体"/>
          <w:sz w:val="24"/>
          <w:szCs w:val="24"/>
          <w:highlight w:val="none"/>
          <w:lang w:val="en-US" w:eastAsia="zh-CN"/>
        </w:rPr>
        <w:t xml:space="preserve">信息安全标准</w:t>
      </w:r>
      <w:bookmarkEnd w:id="192"/>
      <w:r/>
      <w:bookmarkEnd w:id="193"/>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《计算机信息系统安全保护等级划分准则》（GB17859-1999）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《信息安全技术网络安全等级保护实施指南》 GB/T25058-2019）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《信息安全技术网络安全等级保护基本要求》（GB/T22239-2019）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《信息安全技术网络安全等级保护安全设计技术要求》（GB/T25070-2019）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highlight w:val="none"/>
        </w:rPr>
        <w:t xml:space="preserve">《信息安全技术</w:t>
      </w:r>
      <w:r>
        <w:rPr>
          <w:rFonts w:hint="eastAsia" w:ascii="宋体" w:hAnsi="宋体" w:eastAsia="宋体" w:cs="宋体"/>
          <w:sz w:val="24"/>
          <w:szCs w:val="24"/>
          <w:highlight w:val="none"/>
          <w:lang w:eastAsia="zh-CN"/>
        </w:rPr>
        <w:t xml:space="preserve">网络</w:t>
      </w:r>
      <w:r>
        <w:rPr>
          <w:rFonts w:hint="eastAsia" w:ascii="宋体" w:hAnsi="宋体" w:eastAsia="宋体" w:cs="宋体"/>
          <w:sz w:val="24"/>
          <w:szCs w:val="24"/>
          <w:highlight w:val="none"/>
        </w:rPr>
        <w:t xml:space="preserve">安全等级保护测评要求》（GB/T28448-2019）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highlight w:val="none"/>
        </w:rPr>
        <w:t xml:space="preserve">《信息安全技术网络安全等级保护测评过程指南》（GB/T28449-2019）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(7)</w:t>
      </w:r>
      <w:r>
        <w:rPr>
          <w:rFonts w:hint="eastAsia" w:ascii="宋体" w:hAnsi="宋体" w:eastAsia="宋体" w:cs="宋体"/>
          <w:sz w:val="24"/>
          <w:szCs w:val="24"/>
          <w:highlight w:val="none"/>
        </w:rPr>
        <w:t xml:space="preserve">《信息安全技术信息系统安全等级保护定级指南》（GB/T22240-2020）</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(8)</w:t>
      </w:r>
      <w:r>
        <w:rPr>
          <w:rFonts w:hint="eastAsia" w:ascii="宋体" w:hAnsi="宋体" w:eastAsia="宋体" w:cs="宋体"/>
          <w:sz w:val="24"/>
          <w:szCs w:val="24"/>
          <w:highlight w:val="none"/>
        </w:rPr>
        <w:t xml:space="preserve">《信息安全技术网络安全等级保护测试评估技术指南》（GB/T36627-2018）</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信息安全</w:t>
      </w:r>
      <w:r>
        <w:rPr>
          <w:rFonts w:hint="eastAsia" w:ascii="宋体" w:hAnsi="宋体" w:eastAsia="宋体" w:cs="宋体"/>
          <w:sz w:val="24"/>
          <w:szCs w:val="24"/>
          <w:highlight w:val="none"/>
        </w:rPr>
        <w:t xml:space="preserve">技术网络安全等级保护安全管理中心技术要求》（GB/T36958-2018）</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(10)</w:t>
      </w:r>
      <w:r>
        <w:rPr>
          <w:rFonts w:hint="eastAsia" w:ascii="宋体" w:hAnsi="宋体" w:eastAsia="宋体" w:cs="宋体"/>
          <w:sz w:val="24"/>
          <w:szCs w:val="24"/>
          <w:highlight w:val="none"/>
        </w:rPr>
        <w:t xml:space="preserve">《信息安全技术网络安全等级保护</w:t>
      </w:r>
      <w:r>
        <w:rPr>
          <w:rFonts w:hint="eastAsia" w:ascii="宋体" w:hAnsi="宋体" w:eastAsia="宋体" w:cs="宋体"/>
          <w:sz w:val="24"/>
          <w:szCs w:val="24"/>
          <w:highlight w:val="none"/>
          <w:lang w:eastAsia="zh-CN"/>
        </w:rPr>
        <w:t xml:space="preserve">评估</w:t>
      </w:r>
      <w:r>
        <w:rPr>
          <w:rFonts w:hint="eastAsia" w:ascii="宋体" w:hAnsi="宋体" w:eastAsia="宋体" w:cs="宋体"/>
          <w:sz w:val="24"/>
          <w:szCs w:val="24"/>
          <w:highlight w:val="none"/>
        </w:rPr>
        <w:t xml:space="preserve">机构能力要求和评估规范》（GB/T36959-2018）</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(11)</w:t>
      </w:r>
      <w:r>
        <w:rPr>
          <w:rFonts w:hint="eastAsia" w:ascii="宋体" w:hAnsi="宋体" w:eastAsia="宋体" w:cs="宋体"/>
          <w:sz w:val="24"/>
          <w:szCs w:val="24"/>
          <w:highlight w:val="none"/>
        </w:rPr>
        <w:t xml:space="preserve">《公安机关内部网络和数据安全管理规定》</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(12)</w:t>
      </w:r>
      <w:r>
        <w:rPr>
          <w:rFonts w:hint="eastAsia" w:ascii="宋体" w:hAnsi="宋体" w:eastAsia="宋体" w:cs="宋体"/>
          <w:sz w:val="24"/>
          <w:szCs w:val="24"/>
          <w:highlight w:val="none"/>
        </w:rPr>
        <w:t xml:space="preserve">《公安视频图像信息系统安全技术要求》GA/T 1788.1、1788.2、1788.3、1788.4</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(13)</w:t>
      </w:r>
      <w:r>
        <w:rPr>
          <w:rFonts w:hint="eastAsia" w:ascii="宋体" w:hAnsi="宋体" w:eastAsia="宋体" w:cs="宋体"/>
          <w:sz w:val="24"/>
          <w:szCs w:val="24"/>
          <w:highlight w:val="none"/>
        </w:rPr>
        <w:t xml:space="preserve">《公安大数据安全 安全防护体系技术设计要求》 GA/DSJ 352-2019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(14)</w:t>
      </w:r>
      <w:r>
        <w:rPr>
          <w:rFonts w:hint="eastAsia" w:ascii="宋体" w:hAnsi="宋体" w:eastAsia="宋体" w:cs="宋体"/>
          <w:sz w:val="24"/>
          <w:szCs w:val="24"/>
          <w:highlight w:val="none"/>
        </w:rPr>
        <w:t xml:space="preserve">中华人民共和国国务院令（第 809 号）《政务数据共享条例》 </w:t>
      </w:r>
      <w:r/>
    </w:p>
    <w:p>
      <w:pPr>
        <w:pStyle w:val="652"/>
        <w:numPr>
          <w:ilvl w:val="0"/>
          <w:numId w:val="0"/>
        </w:numPr>
        <w:ind w:left="0" w:right="0" w:firstLine="482"/>
        <w:keepLines/>
        <w:keepNext/>
        <w:pageBreakBefore w:val="0"/>
        <w:spacing w:before="0" w:beforeAutospacing="0" w:after="0" w:afterAutospacing="0" w:line="440" w:lineRule="exact"/>
        <w:widowControl w:val="off"/>
        <w:rPr>
          <w:rFonts w:hint="eastAsia" w:ascii="宋体" w:hAnsi="宋体" w:eastAsia="宋体" w:cs="宋体"/>
          <w:sz w:val="24"/>
          <w:szCs w:val="24"/>
          <w:highlight w:val="none"/>
          <w:lang w:val="en-US" w:eastAsia="zh-CN"/>
        </w:rPr>
        <w:outlineLvl w:val="0"/>
      </w:pPr>
      <w:r/>
      <w:bookmarkStart w:id="194" w:name="_Toc18031"/>
      <w:r>
        <w:rPr>
          <w:rFonts w:hint="default" w:ascii="宋体" w:hAnsi="宋体" w:eastAsia="宋体" w:cs="宋体"/>
          <w:b/>
          <w:bCs/>
          <w:sz w:val="24"/>
          <w:szCs w:val="24"/>
          <w:lang w:val="en-US" w:eastAsia="zh-CN" w:bidi="ar"/>
        </w:rPr>
        <w:t xml:space="preserve">4.</w:t>
      </w:r>
      <w:r>
        <w:rPr>
          <w:rFonts w:hint="eastAsia" w:ascii="宋体" w:hAnsi="宋体" w:eastAsia="宋体" w:cs="宋体"/>
          <w:sz w:val="24"/>
          <w:szCs w:val="24"/>
          <w:highlight w:val="none"/>
          <w:lang w:val="en-US" w:eastAsia="zh-CN"/>
        </w:rPr>
        <w:t xml:space="preserve"> </w:t>
      </w:r>
      <w:bookmarkStart w:id="195" w:name="_Toc1820"/>
      <w:r>
        <w:rPr>
          <w:rFonts w:hint="eastAsia" w:ascii="宋体" w:hAnsi="宋体" w:eastAsia="宋体" w:cs="宋体"/>
          <w:sz w:val="24"/>
          <w:szCs w:val="24"/>
          <w:highlight w:val="none"/>
          <w:lang w:val="en-US" w:eastAsia="zh-CN"/>
        </w:rPr>
        <w:t xml:space="preserve">网络安全相关法规</w:t>
      </w:r>
      <w:bookmarkEnd w:id="194"/>
      <w:r/>
      <w:bookmarkEnd w:id="195"/>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《中华人民共和国网络安全法》（2017）</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《中华人民共和国数据安全法》（2021）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《中华人民共和国个人信息保护法》（2021）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《关键信息基础设施安全保护条例》（2021）</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highlight w:val="none"/>
        </w:rPr>
        <w:t xml:space="preserve">《关于加强公共安全视频监控建设联网应用的意见》（发改高技〔2015〕996号）</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highlight w:val="none"/>
        </w:rPr>
        <w:t xml:space="preserve">《江苏省公共安全技术防范管理条例》</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(7)</w:t>
      </w:r>
      <w:r>
        <w:rPr>
          <w:rFonts w:hint="eastAsia" w:ascii="宋体" w:hAnsi="宋体" w:eastAsia="宋体" w:cs="宋体"/>
          <w:sz w:val="24"/>
          <w:szCs w:val="24"/>
          <w:highlight w:val="none"/>
        </w:rPr>
        <w:t xml:space="preserve">《信息安全技术 网络安全等级保护基本要求》（GB/T 22239-2019）</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(8)</w:t>
      </w:r>
      <w:r>
        <w:rPr>
          <w:rFonts w:hint="eastAsia" w:ascii="宋体" w:hAnsi="宋体" w:eastAsia="宋体" w:cs="宋体"/>
          <w:sz w:val="24"/>
          <w:szCs w:val="24"/>
          <w:highlight w:val="none"/>
        </w:rPr>
        <w:t xml:space="preserve">《公共安全视频监控联网系统信息传输、交换、控制技术要求》（GB/T 28181-2022）</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(9)</w:t>
      </w:r>
      <w:r>
        <w:rPr>
          <w:rFonts w:hint="eastAsia" w:ascii="宋体" w:hAnsi="宋体" w:eastAsia="宋体" w:cs="宋体"/>
          <w:sz w:val="24"/>
          <w:szCs w:val="24"/>
          <w:highlight w:val="none"/>
        </w:rPr>
        <w:t xml:space="preserve">《信息安全技术个人信息安全规范》（GB/T 35273-2020）</w:t>
      </w:r>
      <w:r/>
    </w:p>
    <w:p>
      <w:pPr>
        <w:numPr>
          <w:ilvl w:val="0"/>
          <w:numId w:val="0"/>
        </w:numPr>
        <w:ind w:left="0" w:right="0" w:firstLine="480"/>
        <w:jc w:val="left"/>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 xml:space="preserve">(10)</w:t>
      </w:r>
      <w:r>
        <w:rPr>
          <w:rFonts w:hint="eastAsia" w:ascii="宋体" w:hAnsi="宋体" w:eastAsia="宋体" w:cs="宋体"/>
          <w:sz w:val="24"/>
          <w:szCs w:val="24"/>
          <w:highlight w:val="none"/>
        </w:rPr>
        <w:t xml:space="preserve">《农村地区安全防范系统技术规范》（GA/T 1788-2021）</w:t>
      </w:r>
      <w:r/>
    </w:p>
    <w:p>
      <w:pPr>
        <w:ind w:left="0" w:right="0" w:firstLine="48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限于篇幅，此处列举部分依据，除上述规范以外，遵循国家现行的规范和标准要求。</w:t>
      </w:r>
      <w:r/>
    </w:p>
    <w:p>
      <w:pPr>
        <w:rPr>
          <w:rFonts w:hint="eastAsia"/>
          <w:lang w:val="en-US" w:eastAsia="zh-CN"/>
        </w:rPr>
      </w:pPr>
      <w:r>
        <w:rPr>
          <w:rFonts w:hint="eastAsia"/>
          <w:lang w:val="en-US" w:eastAsia="zh-CN"/>
        </w:rPr>
      </w:r>
      <w:r/>
    </w:p>
    <w:p>
      <w:pPr>
        <w:pStyle w:val="686"/>
        <w:numPr>
          <w:ilvl w:val="0"/>
          <w:numId w:val="0"/>
        </w:numPr>
        <w:ind w:left="0" w:firstLine="0"/>
        <w:jc w:val="both"/>
        <w:spacing w:beforeAutospacing="0" w:afterAutospacing="0" w:line="0" w:lineRule="atLeast"/>
        <w:rPr>
          <w:rFonts w:hint="default" w:ascii="宋体" w:hAnsi="宋体" w:eastAsia="宋体" w:cs="宋体"/>
          <w:b/>
          <w:bCs/>
          <w:color w:val="000000"/>
          <w:highlight w:val="white"/>
        </w:rPr>
      </w:pPr>
      <w:r>
        <w:rPr>
          <w:rFonts w:hint="eastAsia" w:ascii="宋体" w:hAnsi="宋体" w:eastAsia="宋体" w:cs="宋体"/>
          <w:b/>
          <w:bCs/>
          <w:color w:val="000000"/>
          <w:sz w:val="24"/>
          <w:szCs w:val="24"/>
          <w:lang w:val="en-US" w:eastAsia="zh-CN" w:bidi="ar-SA"/>
        </w:rPr>
        <w:t xml:space="preserve">三、</w:t>
      </w:r>
      <w:r>
        <w:rPr>
          <w:rFonts w:hint="eastAsia" w:ascii="宋体" w:hAnsi="宋体" w:eastAsia="宋体" w:cs="宋体"/>
          <w:b/>
          <w:bCs/>
          <w:color w:val="000000"/>
          <w:highlight w:val="white"/>
          <w:lang w:val="en-US" w:eastAsia="zh-CN"/>
        </w:rPr>
        <w:t xml:space="preserve">商务要求</w:t>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履约期限</w:t>
      </w:r>
      <w:r>
        <w:rPr>
          <w:rFonts w:hint="eastAsia" w:ascii="宋体" w:hAnsi="宋体" w:eastAsia="宋体" w:cs="宋体"/>
          <w:b/>
          <w:bCs/>
          <w:sz w:val="24"/>
          <w:szCs w:val="24"/>
          <w:highlight w:val="whit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合同签订后</w:t>
      </w:r>
      <w:r>
        <w:rPr>
          <w:rFonts w:hint="eastAsia" w:ascii="宋体" w:hAnsi="宋体" w:eastAsia="宋体" w:cs="宋体"/>
          <w:sz w:val="24"/>
          <w:szCs w:val="24"/>
          <w:highlight w:val="white"/>
          <w:lang w:val="en-US" w:eastAsia="zh-CN"/>
        </w:rPr>
        <w:t xml:space="preserve">90日历天</w:t>
      </w:r>
      <w:r>
        <w:rPr>
          <w:rFonts w:hint="eastAsia" w:ascii="宋体" w:hAnsi="宋体" w:eastAsia="宋体" w:cs="宋体"/>
          <w:sz w:val="24"/>
          <w:szCs w:val="24"/>
          <w:highlight w:val="white"/>
        </w:rPr>
        <w:t xml:space="preserve">内货物全部送达招标人指定位置且安装、调试完毕，并确保正常稳定运行。</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（2）乙方在交货时，货物的品牌型号必须与投标报价单保持一致，必须保证品牌正宗，原始包装并附有合格证、产品安装使用说明书等相关资料。</w:t>
      </w:r>
      <w:r/>
    </w:p>
    <w:p>
      <w:pPr>
        <w:ind w:firstLine="480"/>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b/>
          <w:bCs/>
          <w:sz w:val="24"/>
          <w:szCs w:val="24"/>
          <w:highlight w:val="white"/>
          <w:lang w:val="en-US" w:eastAsia="zh-CN"/>
        </w:rPr>
        <w:t xml:space="preserve">2、履约地点：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东台市境内（采购人指定地点）</w:t>
      </w:r>
      <w:r/>
    </w:p>
    <w:tbl>
      <w:tblPr>
        <w:tblStyle w:val="662"/>
        <w:tblW w:w="928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2"/>
        <w:gridCol w:w="1671"/>
        <w:gridCol w:w="677"/>
        <w:gridCol w:w="3360"/>
        <w:gridCol w:w="1477"/>
        <w:gridCol w:w="1643"/>
      </w:tblGrid>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9280" w:type="dxa"/>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Arial" w:hAnsi="Arial" w:cs="Arial"/>
                <w:b w:val="0"/>
                <w:bCs/>
                <w:color w:val="000000"/>
                <w:sz w:val="28"/>
                <w:szCs w:val="28"/>
                <w:highlight w:val="none"/>
                <w:lang w:val="en-US" w:eastAsia="zh-CN"/>
              </w:rPr>
              <w:t xml:space="preserve">东台市海防监控点位建设项目点位明细</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纬度</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新东边防派出所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方塘河闸南三叉口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120.8979474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32.68540863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新东边防派出所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弶南村与海安交界卡口杆</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120.9320465</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32.68623002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新东边防派出所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东台呁汇北侧路口结构化</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120.9320465</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32.68666665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新东边防派出所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黄海原种场厂部与海堤路交界路口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120.8789368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32.64653513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条子泥东门口，新增</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120.9528251</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32.76059805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条子泥海潮路点位赶海点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120.9457787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32.72284904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条子泥海潮路闸口点位1</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120.9428981</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32.72240892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120.9386211</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32.72222228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条子泥海潮路点位3</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120.9327958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32.72182957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条子泥海潮路点位4</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120.9243439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32.72141343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条子泥海潮路点位5</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120.9074017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32.72052535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弶港海防派出所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条子泥海潮路点位6</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120.8913048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32.72997725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三水滩东门，新增</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120.9127624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32.88421298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众鑫合作社外围五区中间3号入口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120.9313633</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32.89175692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众鑫合作社外围五区中间2号入口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120.9272759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32.8866648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众鑫合作社外围五区1号入口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120.9215837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32.88778594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众鑫合作社外围五区中间5号入口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120.9328472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32.90185603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众鑫合作社外围五区中间4号入口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120.9323442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32.89762106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众鑫合作社外围五区旁边道路</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120.9191425</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32.89163475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众鑫水产养殖二区与三区间道路</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120.9217086</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32.89956528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众鑫水产养殖三区与四区间道路</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120.9217116</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32.89538577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梁北公司北侧道路口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120.9080301</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32.91013034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条子泥景区北侧灯塔南边小路</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120.9355692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32.87992429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条子泥海水养殖区南首水泵站旁</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120.934533</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32.85094624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条子泥施小牛蟹苗基地南侧闸口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120.9371112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32.87890665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徐霞客钓鱼场门口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120.9449729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32.88080545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孔雀园门口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120.9041502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32.84957059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通博蟹苗场边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120.9065769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32.84888559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梁垛河闸派出所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海鱼路与风光路岔路口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120.9288877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32.84535304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蹲门度假村北路东首路西</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120.8876713</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32.96211975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蹲门度假村北路东首路东</w:t>
            </w:r>
            <w:r/>
          </w:p>
        </w:tc>
        <w:tc>
          <w:tcPr>
            <w:shd w:val="clear" w:color="auto" w:fill="auto"/>
            <w:tcBorders>
              <w:top w:val="none" w:color="000000" w:sz="4" w:space="0"/>
              <w:left w:val="none" w:color="000000" w:sz="4" w:space="0"/>
              <w:bottom w:val="none" w:color="000000" w:sz="4" w:space="0"/>
              <w:right w:val="non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120.8879168</w:t>
            </w:r>
            <w:r/>
          </w:p>
        </w:tc>
        <w:tc>
          <w:tcPr>
            <w:shd w:val="clear" w:color="auto" w:fill="auto"/>
            <w:tcBorders>
              <w:top w:val="none" w:color="000000" w:sz="4" w:space="0"/>
              <w:left w:val="none" w:color="000000" w:sz="4" w:space="0"/>
              <w:bottom w:val="none" w:color="000000" w:sz="4" w:space="0"/>
              <w:right w:val="non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32.96219411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蹲门农场外大圩东北角路口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120.8938534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33.01336325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蹲门农场大圩外侧东北港汊2，进排水河道</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120.9099852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33.0097915</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蹲门农场大圩外侧东北港汊1</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120.9114109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33.0144593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蹲门农场外大圩东北小闸南路口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120.8979694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33.00545006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蹲门农场外大圩东北小闸北路口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120.8974798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33.00649183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蹲门农场外大圩东侧路口6号门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120.9018207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32.97761783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蹲门农场外大圩东南角4号门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120.9029198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32.96734131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蹲门农场外大圩南侧路口1-2号门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120.8964079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32.96247079</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蹲门农场外大圩南侧路口1-3号门</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120.8970986</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32.96297807</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川水港闸南侧梁川路北出口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120.891244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32.95185223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梁北公司外大圩西北角出口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120.891844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32.94872601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川水港闸北侧路口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120.8924339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32.953904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川水港闸南侧路口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120.8929036</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32.95215768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川水港闸南侧工程船码头出口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120.8984786</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32.94946113</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梁北公司外大圩东北角出海通道</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120.9054112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32.9493036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蹲门巴斗交界处港汊</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120.8944932</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32.93715798</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梁川路蹲门巴斗交界处通海道路</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120.8997959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32.91457771</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梁川路与梁北公司北区二号路交界处</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120.9308274</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32.9119654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蹲门中心路与麋鹿线交界处（蹲西西首）</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120.842027</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32.95782076</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蹲门巴斗交界处港汊北侧下海通道路口</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120.9306799</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32.91452863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东台河闸派出所</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海防</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川水港闸南侧工程船码头</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120.900498</w:t>
            </w:r>
            <w:r/>
          </w:p>
        </w:tc>
        <w:tc>
          <w:tcPr>
            <w:shd w:val="clear" w:color="auto" w:fill="auto"/>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32.95252031</w:t>
            </w:r>
            <w:r/>
          </w:p>
        </w:tc>
      </w:tr>
    </w:tbl>
    <w:p>
      <w:pPr>
        <w:rPr>
          <w:rFonts w:hint="default"/>
          <w:lang w:val="en-US" w:eastAsia="zh-CN"/>
        </w:rPr>
      </w:pPr>
      <w:r>
        <w:rPr>
          <w:rFonts w:hint="default"/>
          <w:lang w:val="en-US" w:eastAsia="zh-CN"/>
        </w:rPr>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3、售后服务：</w:t>
      </w:r>
      <w:r/>
    </w:p>
    <w:p>
      <w:pPr>
        <w:ind w:firstLine="480"/>
        <w:keepLines w:val="0"/>
        <w:keepNext w:val="0"/>
        <w:pageBreakBefore w:val="0"/>
        <w:spacing w:line="360" w:lineRule="auto"/>
        <w:widowControl w:val="off"/>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3.1质量保证期：三年。（其中杆件产品质保期为20年。质保期以设备最终验收之日起算。合同签订前提供“附件：主要设备技术参数要求”中设备的3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3.3质量保证期满后，供应商和厂家应同样提供免费电话咨询服务，并以优惠价格提供售后服务；</w:t>
      </w:r>
      <w:r/>
    </w:p>
    <w:p>
      <w:pPr>
        <w:ind w:firstLine="48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3.4</w:t>
      </w:r>
      <w:r>
        <w:rPr>
          <w:rFonts w:hint="eastAsia" w:ascii="宋体" w:hAnsi="宋体" w:eastAsia="宋体" w:cs="宋体"/>
          <w:color w:val="000000"/>
          <w:sz w:val="24"/>
          <w:szCs w:val="24"/>
          <w:highlight w:val="white"/>
          <w:lang w:val="en-US" w:eastAsia="zh-CN"/>
        </w:rPr>
        <w:t xml:space="preserve">如甲方使用不当造成货物的毁损，乙方有义务协助维修。</w:t>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 xml:space="preserve">4、本项目</w:t>
      </w:r>
      <w:r>
        <w:rPr>
          <w:rFonts w:hint="eastAsia" w:ascii="宋体" w:hAnsi="宋体" w:eastAsia="宋体" w:cs="宋体"/>
          <w:b/>
          <w:bCs/>
          <w:sz w:val="24"/>
          <w:szCs w:val="24"/>
          <w:highlight w:val="white"/>
          <w:u w:val="single"/>
          <w:lang w:val="en-US" w:eastAsia="zh-CN"/>
        </w:rPr>
        <w:t xml:space="preserve">不接受</w:t>
      </w:r>
      <w:r>
        <w:rPr>
          <w:rFonts w:hint="eastAsia" w:ascii="宋体" w:hAnsi="宋体" w:eastAsia="宋体" w:cs="宋体"/>
          <w:b/>
          <w:bCs/>
          <w:sz w:val="24"/>
          <w:szCs w:val="24"/>
          <w:highlight w:val="white"/>
          <w:lang w:val="en-US" w:eastAsia="zh-CN"/>
        </w:rPr>
        <w:t xml:space="preserve">进口产品投标。</w:t>
      </w:r>
      <w:r/>
    </w:p>
    <w:p>
      <w:pPr>
        <w:ind w:firstLine="480"/>
        <w:keepLines w:val="0"/>
        <w:keepNext w:val="0"/>
        <w:pageBreakBefore w:val="0"/>
        <w:spacing w:line="360" w:lineRule="auto"/>
        <w:widowControl w:val="off"/>
        <w:rPr>
          <w:rFonts w:hint="eastAsia"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 xml:space="preserve">5、采购标的对应的中小企业划分标准所属行业一览表</w:t>
      </w:r>
      <w:r/>
    </w:p>
    <w:tbl>
      <w:tblPr>
        <w:tblStyle w:val="662"/>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1107"/>
        <w:gridCol w:w="3439"/>
        <w:gridCol w:w="3976"/>
      </w:tblGrid>
      <w:tr>
        <w:trPr>
          <w:tblCellSpacing w:w="0" w:type="dxa"/>
          <w:trHeight w:val="444"/>
          <w:tblHeader/>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对应中小企业划分标准所属行业</w:t>
            </w:r>
            <w:r/>
          </w:p>
        </w:tc>
      </w:tr>
      <w:tr>
        <w:trPr>
          <w:tblCellSpacing w:w="0" w:type="dxa"/>
          <w:trHeight w:val="44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东台市海防监控点位建设项目</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686"/>
              <w:ind w:left="0" w:right="0" w:firstLine="0"/>
              <w:jc w:val="center"/>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详见采购内容备注栏“所属行业”</w:t>
            </w:r>
            <w:r/>
          </w:p>
        </w:tc>
      </w:tr>
    </w:tbl>
    <w:p>
      <w:r/>
      <w:bookmarkStart w:id="196" w:name="_Toc120614281"/>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8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color w:val="000000"/>
          <w:sz w:val="24"/>
          <w:szCs w:val="24"/>
          <w:highlight w:val="none"/>
        </w:rPr>
        <w:t xml:space="preserve">名中标候选人。</w:t>
      </w:r>
      <w:r/>
    </w:p>
    <w:p>
      <w:pPr>
        <w:pStyle w:val="686"/>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44"/>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44"/>
        <w:ind w:firstLine="360"/>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w:t>
      </w:r>
      <w:r>
        <w:rPr>
          <w:rFonts w:hint="eastAsia" w:ascii="宋体" w:hAnsi="宋体" w:eastAsia="宋体" w:cs="宋体"/>
          <w:highlight w:val="none"/>
          <w:lang w:val="en-US" w:eastAsia="zh-CN"/>
        </w:rPr>
        <w:t xml:space="preserve">中小</w:t>
      </w:r>
      <w:r>
        <w:rPr>
          <w:rFonts w:hint="eastAsia" w:ascii="宋体" w:hAnsi="宋体" w:eastAsia="宋体" w:cs="宋体"/>
          <w:highlight w:val="none"/>
        </w:rPr>
        <w:t xml:space="preserve">企业声明函》。</w:t>
      </w:r>
      <w:r/>
    </w:p>
    <w:p>
      <w:pPr>
        <w:pStyle w:val="844"/>
        <w:ind w:firstLine="360"/>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w:t>
      </w:r>
      <w:r>
        <w:rPr>
          <w:rFonts w:hint="eastAsia" w:ascii="宋体" w:hAnsi="宋体" w:eastAsia="宋体" w:cs="宋体"/>
          <w:highlight w:val="none"/>
          <w:lang w:eastAsia="zh-CN"/>
        </w:rPr>
        <w:t xml:space="preserve">〔2011〕300号</w:t>
      </w:r>
      <w:r>
        <w:rPr>
          <w:rFonts w:hint="eastAsia" w:ascii="宋体" w:hAnsi="宋体" w:eastAsia="宋体" w:cs="宋体"/>
          <w:highlight w:val="none"/>
        </w:rPr>
        <w:t xml:space="preserve">）文件规定自行填写。</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86"/>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6"/>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6"/>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86"/>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86"/>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6"/>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86"/>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spacing w:line="400" w:lineRule="exac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7、采购本国产品的支持政策</w:t>
      </w:r>
      <w:r/>
    </w:p>
    <w:p>
      <w:pPr>
        <w:ind w:firstLine="482"/>
        <w:jc w:val="left"/>
        <w:spacing w:line="400" w:lineRule="exac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 xml:space="preserve">20%</w:t>
      </w: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的价格扣除，用扣除后的价格参与评审。</w:t>
      </w:r>
      <w:r/>
    </w:p>
    <w:p>
      <w:pPr>
        <w:ind w:firstLine="482"/>
        <w:jc w:val="left"/>
        <w:spacing w:line="400" w:lineRule="exac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 xml:space="preserve">80%</w:t>
      </w: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 xml:space="preserve">20%</w:t>
      </w: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7.4 供应商需在《声明函》中逐一、准确填写产品名称、厂名、生产厂址三项信息（《声明函》中用</w:t>
      </w:r>
      <w:r>
        <w:rPr>
          <w:rFonts w:hint="eastAsia" w:ascii="宋体" w:hAnsi="宋体" w:eastAsia="宋体" w:cs="宋体"/>
          <w:b w:val="0"/>
          <w:bCs w:val="0"/>
          <w:color w:val="4472c4" w:themeColor="accent5"/>
          <w:sz w:val="24"/>
          <w:szCs w:val="24"/>
          <w:highlight w:val="none"/>
          <w:lang w:val="en-US" w:eastAsia="zh-CN"/>
          <w14:textFill>
            <w14:solidFill>
              <w14:schemeClr w14:val="accent5"/>
            </w14:solidFill>
          </w14:textFill>
        </w:rPr>
        <w:t xml:space="preserve">横</w:t>
      </w: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b w:val="0"/>
          <w:bCs w:val="0"/>
          <w:color w:val="4472c4" w:themeColor="accent5"/>
          <w:highlight w:val="none"/>
          <w:u w:val="single"/>
          <w:lang w:eastAsia="zh-CN"/>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4472c4" w:themeColor="accent5"/>
          <w:sz w:val="24"/>
          <w:szCs w:val="24"/>
          <w:highlight w:val="none"/>
          <w:lang w:val="en-US" w:eastAsia="zh-CN"/>
          <w14:textFill>
            <w14:solidFill>
              <w14:schemeClr w14:val="accent5"/>
            </w14:solidFill>
          </w14:textFill>
        </w:rPr>
        <w:t xml:space="preserve">在苏采云系统</w:t>
      </w: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86"/>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评标方法与评标标准</w:t>
      </w:r>
      <w:r/>
    </w:p>
    <w:p>
      <w:pPr>
        <w:pStyle w:val="68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62"/>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288"/>
      </w:tblGrid>
      <w:tr>
        <w:trPr>
          <w:jc w:val="center"/>
          <w:trHeight w:val="54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highlight w:val="none"/>
              </w:rPr>
            </w:pPr>
            <w:r>
              <w:rPr>
                <w:rFonts w:hint="eastAsia" w:ascii="仿宋" w:hAnsi="仿宋" w:eastAsia="仿宋" w:cs="仿宋"/>
                <w:b/>
                <w:bCs/>
                <w:highlight w:val="none"/>
              </w:rPr>
              <w:t xml:space="preserve">分值</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665"/>
              <w:jc w:val="center"/>
              <w:rPr>
                <w:rFonts w:hint="eastAsia" w:ascii="仿宋" w:hAnsi="仿宋" w:eastAsia="仿宋" w:cs="仿宋"/>
                <w:b/>
                <w:bCs/>
                <w:highlight w:val="none"/>
              </w:rPr>
            </w:pPr>
            <w:r>
              <w:rPr>
                <w:rFonts w:hint="eastAsia" w:ascii="仿宋" w:hAnsi="仿宋" w:eastAsia="仿宋" w:cs="仿宋"/>
                <w:b/>
                <w:bCs/>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rPr>
            </w:pPr>
            <w:r>
              <w:rPr>
                <w:rFonts w:hint="eastAsia" w:ascii="仿宋" w:hAnsi="仿宋" w:eastAsia="仿宋" w:cs="仿宋"/>
                <w:b w:val="0"/>
                <w:bCs w:val="0"/>
                <w:color w:val="auto"/>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288" w:type="dxa"/>
            <w:vAlign w:val="center"/>
            <w:textDirection w:val="lrTb"/>
            <w:noWrap w:val="false"/>
          </w:tcPr>
          <w:p>
            <w:pPr>
              <w:pStyle w:val="665"/>
              <w:rPr>
                <w:rFonts w:hint="eastAsia" w:ascii="仿宋" w:hAnsi="仿宋" w:eastAsia="仿宋" w:cs="仿宋"/>
                <w:b w:val="0"/>
                <w:bCs w:val="0"/>
                <w:color w:val="auto"/>
                <w:highlight w:val="none"/>
              </w:rPr>
            </w:pPr>
            <w:r/>
            <w:bookmarkStart w:id="197" w:name="OLE_LINK20"/>
            <w:r>
              <w:rPr>
                <w:rFonts w:hint="eastAsia" w:ascii="仿宋" w:hAnsi="仿宋" w:eastAsia="仿宋" w:cs="仿宋"/>
                <w:b w:val="0"/>
                <w:bCs w:val="0"/>
                <w:color w:val="auto"/>
                <w:highlight w:val="none"/>
              </w:rPr>
              <w:t xml:space="preserve">满足招标文件要求且投标价格最低的投标报价为基准价，其价格分为满分。报价得分=(评标基准价/投标报价)×</w:t>
            </w:r>
            <w:r>
              <w:rPr>
                <w:rFonts w:hint="eastAsia" w:ascii="仿宋" w:hAnsi="仿宋" w:eastAsia="仿宋" w:cs="仿宋"/>
                <w:b w:val="0"/>
                <w:bCs w:val="0"/>
                <w:color w:val="auto"/>
                <w:highlight w:val="none"/>
                <w:lang w:val="en-US" w:eastAsia="zh-CN"/>
              </w:rPr>
              <w:t xml:space="preserve">30</w:t>
            </w:r>
            <w:r>
              <w:rPr>
                <w:rFonts w:hint="eastAsia" w:ascii="仿宋" w:hAnsi="仿宋" w:eastAsia="仿宋" w:cs="仿宋"/>
                <w:b w:val="0"/>
                <w:bCs w:val="0"/>
                <w:color w:val="auto"/>
                <w:highlight w:val="none"/>
              </w:rPr>
              <w:t xml:space="preserve">。</w:t>
            </w:r>
            <w:bookmarkEnd w:id="197"/>
            <w:r/>
            <w:r/>
          </w:p>
        </w:tc>
      </w:tr>
      <w:tr>
        <w:trPr>
          <w:jc w:val="center"/>
          <w:trHeight w:val="2309"/>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rPr>
              <w:t xml:space="preserve">产品功能配置指标评价</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lang w:val="en-US" w:eastAsia="zh-CN"/>
              </w:rPr>
              <w:t xml:space="preserve">20</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rPr>
              <w:t xml:space="preserve">根据各投标人对本次招标技术参数部分响应情况进行评定。投标人的所有技术参数满足招标要求的得满分</w:t>
            </w:r>
            <w:r>
              <w:rPr>
                <w:rFonts w:hint="eastAsia" w:ascii="仿宋" w:hAnsi="仿宋" w:eastAsia="仿宋" w:cs="仿宋"/>
                <w:b w:val="0"/>
                <w:bCs w:val="0"/>
                <w:color w:val="auto"/>
                <w:sz w:val="21"/>
                <w:szCs w:val="21"/>
                <w:highlight w:val="white"/>
                <w:lang w:val="en-US" w:eastAsia="zh-CN"/>
              </w:rPr>
              <w:t xml:space="preserve">20</w:t>
            </w:r>
            <w:r>
              <w:rPr>
                <w:rFonts w:hint="eastAsia" w:ascii="仿宋" w:hAnsi="仿宋" w:eastAsia="仿宋" w:cs="仿宋"/>
                <w:b w:val="0"/>
                <w:bCs w:val="0"/>
                <w:color w:val="auto"/>
                <w:sz w:val="21"/>
                <w:szCs w:val="21"/>
                <w:highlight w:val="white"/>
              </w:rPr>
              <w:t xml:space="preserve">分；其中加“</w:t>
            </w:r>
            <w:r>
              <w:rPr>
                <w:rFonts w:hint="eastAsia" w:ascii="仿宋" w:hAnsi="仿宋" w:eastAsia="仿宋" w:cs="仿宋"/>
                <w:b w:val="0"/>
                <w:bCs w:val="0"/>
                <w:color w:val="auto"/>
                <w:sz w:val="21"/>
                <w:szCs w:val="21"/>
                <w:highlight w:val="white"/>
                <w:lang w:eastAsia="zh-CN"/>
              </w:rPr>
              <w:t xml:space="preserve">★</w:t>
            </w:r>
            <w:r>
              <w:rPr>
                <w:rFonts w:hint="eastAsia" w:ascii="仿宋" w:hAnsi="仿宋" w:eastAsia="仿宋" w:cs="仿宋"/>
                <w:b w:val="0"/>
                <w:bCs w:val="0"/>
                <w:color w:val="auto"/>
                <w:sz w:val="21"/>
                <w:szCs w:val="21"/>
                <w:highlight w:val="white"/>
              </w:rPr>
              <w:t xml:space="preserve">”项技术参数负偏离的，每有一项扣</w:t>
            </w:r>
            <w:r>
              <w:rPr>
                <w:rFonts w:hint="eastAsia" w:ascii="仿宋" w:hAnsi="仿宋" w:eastAsia="仿宋" w:cs="仿宋"/>
                <w:b w:val="0"/>
                <w:bCs w:val="0"/>
                <w:color w:val="auto"/>
                <w:sz w:val="21"/>
                <w:szCs w:val="21"/>
                <w:highlight w:val="white"/>
                <w:lang w:val="en-US" w:eastAsia="zh-CN"/>
              </w:rPr>
              <w:t xml:space="preserve">2</w:t>
            </w:r>
            <w:r>
              <w:rPr>
                <w:rFonts w:hint="eastAsia" w:ascii="仿宋" w:hAnsi="仿宋" w:eastAsia="仿宋" w:cs="仿宋"/>
                <w:b w:val="0"/>
                <w:bCs w:val="0"/>
                <w:color w:val="auto"/>
                <w:sz w:val="21"/>
                <w:szCs w:val="21"/>
                <w:highlight w:val="white"/>
              </w:rPr>
              <w:t xml:space="preserve">分；非“</w:t>
            </w:r>
            <w:r>
              <w:rPr>
                <w:rFonts w:hint="eastAsia" w:ascii="仿宋" w:hAnsi="仿宋" w:eastAsia="仿宋" w:cs="仿宋"/>
                <w:b w:val="0"/>
                <w:bCs w:val="0"/>
                <w:color w:val="auto"/>
                <w:sz w:val="21"/>
                <w:szCs w:val="21"/>
                <w:highlight w:val="white"/>
                <w:lang w:eastAsia="zh-CN"/>
              </w:rPr>
              <w:t xml:space="preserve">★</w:t>
            </w:r>
            <w:r>
              <w:rPr>
                <w:rFonts w:hint="eastAsia" w:ascii="仿宋" w:hAnsi="仿宋" w:eastAsia="仿宋" w:cs="仿宋"/>
                <w:b w:val="0"/>
                <w:bCs w:val="0"/>
                <w:color w:val="auto"/>
                <w:sz w:val="21"/>
                <w:szCs w:val="21"/>
                <w:highlight w:val="white"/>
              </w:rPr>
              <w:t xml:space="preserve">”项技术参数负偏离的，每有一项扣</w:t>
            </w:r>
            <w:r>
              <w:rPr>
                <w:rFonts w:hint="eastAsia" w:ascii="仿宋" w:hAnsi="仿宋" w:eastAsia="仿宋" w:cs="仿宋"/>
                <w:b w:val="0"/>
                <w:bCs w:val="0"/>
                <w:color w:val="auto"/>
                <w:sz w:val="21"/>
                <w:szCs w:val="21"/>
                <w:highlight w:val="white"/>
                <w:lang w:val="en-US" w:eastAsia="zh-CN"/>
              </w:rPr>
              <w:t xml:space="preserve">0.5</w:t>
            </w:r>
            <w:r>
              <w:rPr>
                <w:rFonts w:hint="eastAsia" w:ascii="仿宋" w:hAnsi="仿宋" w:eastAsia="仿宋" w:cs="仿宋"/>
                <w:b w:val="0"/>
                <w:bCs w:val="0"/>
                <w:color w:val="auto"/>
                <w:sz w:val="21"/>
                <w:szCs w:val="21"/>
                <w:highlight w:val="white"/>
              </w:rPr>
              <w:t xml:space="preserve">分，扣完为止。</w:t>
            </w:r>
            <w:r/>
          </w:p>
          <w:p>
            <w:pPr>
              <w:ind w:firstLine="42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rPr>
              <w:t xml:space="preserve">注：</w:t>
            </w:r>
            <w:r>
              <w:rPr>
                <w:rFonts w:hint="eastAsia" w:ascii="仿宋" w:hAnsi="仿宋" w:eastAsia="仿宋" w:cs="仿宋"/>
                <w:b w:val="0"/>
                <w:bCs w:val="0"/>
                <w:color w:val="auto"/>
                <w:sz w:val="21"/>
                <w:szCs w:val="21"/>
                <w:highlight w:val="white"/>
              </w:rPr>
              <w:fldChar w:fldCharType="begin"/>
            </w:r>
            <w:r>
              <w:rPr>
                <w:rFonts w:hint="eastAsia" w:ascii="仿宋" w:hAnsi="仿宋" w:eastAsia="仿宋" w:cs="仿宋"/>
                <w:b w:val="0"/>
                <w:bCs w:val="0"/>
                <w:color w:val="auto"/>
                <w:sz w:val="21"/>
                <w:szCs w:val="21"/>
                <w:highlight w:val="white"/>
              </w:rPr>
              <w:instrText xml:space="preserve"> = 1 \* GB3 \* MERGEFORMAT </w:instrText>
            </w:r>
            <w:r>
              <w:rPr>
                <w:rFonts w:hint="eastAsia" w:ascii="仿宋" w:hAnsi="仿宋" w:eastAsia="仿宋" w:cs="仿宋"/>
                <w:b w:val="0"/>
                <w:bCs w:val="0"/>
                <w:color w:val="auto"/>
                <w:sz w:val="21"/>
                <w:szCs w:val="21"/>
                <w:highlight w:val="white"/>
              </w:rPr>
              <w:fldChar w:fldCharType="separate"/>
            </w:r>
            <w:r>
              <w:rPr>
                <w:rFonts w:hint="eastAsia" w:ascii="仿宋" w:hAnsi="仿宋" w:eastAsia="仿宋" w:cs="仿宋"/>
                <w:b w:val="0"/>
                <w:bCs w:val="0"/>
                <w:color w:val="auto"/>
                <w:sz w:val="21"/>
                <w:szCs w:val="21"/>
                <w:highlight w:val="white"/>
              </w:rPr>
              <w:t xml:space="preserve">①</w:t>
            </w:r>
            <w:r>
              <w:rPr>
                <w:rFonts w:hint="eastAsia" w:ascii="仿宋" w:hAnsi="仿宋" w:eastAsia="仿宋" w:cs="仿宋"/>
                <w:b w:val="0"/>
                <w:bCs w:val="0"/>
                <w:color w:val="auto"/>
                <w:sz w:val="21"/>
                <w:szCs w:val="21"/>
                <w:highlight w:val="white"/>
              </w:rPr>
              <w:fldChar w:fldCharType="end"/>
            </w:r>
            <w:r>
              <w:rPr>
                <w:rFonts w:hint="eastAsia" w:ascii="仿宋" w:hAnsi="仿宋" w:eastAsia="仿宋" w:cs="仿宋"/>
                <w:b w:val="0"/>
                <w:bCs w:val="0"/>
                <w:color w:val="auto"/>
                <w:sz w:val="21"/>
                <w:szCs w:val="21"/>
                <w:highlight w:val="white"/>
              </w:rPr>
              <w:t xml:space="preserve">技术参数要求提供的证明材料（检测报告）的以证明材料复印件加盖投标单位公章为准，其他参数以提供的技术参数响应表加盖投标单位公章为准；</w:t>
            </w:r>
            <w:r/>
          </w:p>
          <w:p>
            <w:pPr>
              <w:pStyle w:val="665"/>
              <w:ind w:firstLine="420"/>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sz w:val="21"/>
                <w:szCs w:val="21"/>
                <w:highlight w:val="white"/>
              </w:rPr>
              <w:fldChar w:fldCharType="begin"/>
            </w:r>
            <w:r>
              <w:rPr>
                <w:rFonts w:hint="eastAsia" w:ascii="仿宋" w:hAnsi="仿宋" w:eastAsia="仿宋" w:cs="仿宋"/>
                <w:b w:val="0"/>
                <w:bCs w:val="0"/>
                <w:color w:val="auto"/>
                <w:sz w:val="21"/>
                <w:szCs w:val="21"/>
                <w:highlight w:val="white"/>
              </w:rPr>
              <w:instrText xml:space="preserve"> = 2 \* GB3 \* MERGEFORMAT </w:instrText>
            </w:r>
            <w:r>
              <w:rPr>
                <w:rFonts w:hint="eastAsia" w:ascii="仿宋" w:hAnsi="仿宋" w:eastAsia="仿宋" w:cs="仿宋"/>
                <w:b w:val="0"/>
                <w:bCs w:val="0"/>
                <w:color w:val="auto"/>
                <w:sz w:val="21"/>
                <w:szCs w:val="21"/>
                <w:highlight w:val="white"/>
              </w:rPr>
              <w:fldChar w:fldCharType="separate"/>
            </w:r>
            <w:r>
              <w:rPr>
                <w:rFonts w:hint="eastAsia" w:ascii="仿宋" w:hAnsi="仿宋" w:eastAsia="仿宋" w:cs="仿宋"/>
                <w:b w:val="0"/>
                <w:bCs w:val="0"/>
                <w:color w:val="auto"/>
                <w:sz w:val="21"/>
                <w:szCs w:val="21"/>
                <w:highlight w:val="white"/>
              </w:rPr>
              <w:t xml:space="preserve">②</w:t>
            </w:r>
            <w:r>
              <w:rPr>
                <w:rFonts w:hint="eastAsia" w:ascii="仿宋" w:hAnsi="仿宋" w:eastAsia="仿宋" w:cs="仿宋"/>
                <w:b w:val="0"/>
                <w:bCs w:val="0"/>
                <w:color w:val="auto"/>
                <w:sz w:val="21"/>
                <w:szCs w:val="21"/>
                <w:highlight w:val="white"/>
              </w:rPr>
              <w:fldChar w:fldCharType="end"/>
            </w:r>
            <w:r>
              <w:rPr>
                <w:rFonts w:hint="eastAsia" w:ascii="仿宋" w:hAnsi="仿宋" w:eastAsia="仿宋" w:cs="仿宋"/>
                <w:b w:val="0"/>
                <w:bCs w:val="0"/>
                <w:color w:val="auto"/>
                <w:sz w:val="21"/>
                <w:szCs w:val="21"/>
                <w:highlight w:val="white"/>
              </w:rPr>
              <w:t xml:space="preserve">技术参数中每一条的要求为一项，投标人需详尽真实的提供所投产品的品牌型号及技术参数响应表，列明偏离情况</w:t>
            </w:r>
            <w:r>
              <w:rPr>
                <w:rFonts w:hint="eastAsia" w:ascii="仿宋" w:hAnsi="仿宋" w:eastAsia="仿宋" w:cs="仿宋"/>
                <w:b w:val="0"/>
                <w:bCs w:val="0"/>
                <w:color w:val="auto"/>
                <w:sz w:val="21"/>
                <w:szCs w:val="21"/>
                <w:highlight w:val="white"/>
                <w:lang w:eastAsia="zh-CN"/>
              </w:rPr>
              <w:t xml:space="preserve">。</w:t>
            </w:r>
            <w:r/>
          </w:p>
        </w:tc>
      </w:tr>
      <w:tr>
        <w:trPr>
          <w:jc w:val="center"/>
          <w:trHeight w:val="2309"/>
        </w:trPr>
        <w:tc>
          <w:tcPr>
            <w:tcBorders>
              <w:left w:val="single" w:color="auto" w:sz="4" w:space="0"/>
              <w:right w:val="single" w:color="auto" w:sz="4" w:space="0"/>
            </w:tcBorders>
            <w:tcW w:w="575" w:type="dxa"/>
            <w:vAlign w:val="center"/>
            <w:vMerge w:val="continue"/>
            <w:textDirection w:val="lrTb"/>
            <w:noWrap w:val="false"/>
          </w:tcPr>
          <w:p>
            <w:pPr>
              <w:jc w:val="center"/>
            </w:pPr>
            <w:r/>
            <w:r/>
          </w:p>
        </w:tc>
        <w:tc>
          <w:tcPr>
            <w:tcBorders>
              <w:left w:val="single" w:color="auto" w:sz="4" w:space="0"/>
              <w:right w:val="single" w:color="auto" w:sz="4" w:space="0"/>
            </w:tcBorders>
            <w:tcW w:w="1118" w:type="dxa"/>
            <w:vAlign w:val="center"/>
            <w:vMerge w:val="continue"/>
            <w:textDirection w:val="lrTb"/>
            <w:noWrap w:val="false"/>
          </w:tcPr>
          <w:p>
            <w:pPr>
              <w:jc w:val="center"/>
            </w:p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项目实施</w:t>
            </w:r>
            <w:r/>
          </w:p>
          <w:p>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 xml:space="preserve">方案</w:t>
            </w:r>
            <w:r/>
          </w:p>
        </w:tc>
        <w:tc>
          <w:tcPr>
            <w:shd w:val="clear" w:color="auto" w:fill="auto"/>
            <w:tcBorders>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sz w:val="21"/>
                <w:szCs w:val="24"/>
                <w:highlight w:val="none"/>
                <w:lang w:val="en-US" w:eastAsia="zh-CN" w:bidi="ar-SA"/>
              </w:rPr>
              <w:t xml:space="preserve">10</w:t>
            </w:r>
            <w:r/>
          </w:p>
        </w:tc>
        <w:tc>
          <w:tcPr>
            <w:shd w:val="clear" w:color="auto" w:fill="auto"/>
            <w:tcBorders>
              <w:left w:val="single" w:color="auto" w:sz="4" w:space="0"/>
              <w:right w:val="single" w:color="auto" w:sz="4" w:space="0"/>
            </w:tcBorders>
            <w:tcW w:w="5288" w:type="dxa"/>
            <w:vAlign w:val="center"/>
            <w:textDirection w:val="lrTb"/>
            <w:noWrap w:val="false"/>
          </w:tcPr>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根据投标人对</w:t>
            </w:r>
            <w:r>
              <w:rPr>
                <w:rFonts w:hint="eastAsia" w:ascii="仿宋" w:hAnsi="仿宋" w:eastAsia="仿宋" w:cs="仿宋"/>
                <w:color w:val="auto"/>
                <w:highlight w:val="white"/>
              </w:rPr>
              <w:t xml:space="preserve">本海防监控点位</w:t>
            </w:r>
            <w:r>
              <w:rPr>
                <w:rFonts w:hint="eastAsia" w:ascii="仿宋" w:hAnsi="仿宋" w:eastAsia="仿宋" w:cs="仿宋"/>
                <w:color w:val="auto"/>
                <w:highlight w:val="white"/>
                <w:lang w:val="en-US" w:eastAsia="zh-CN"/>
              </w:rPr>
              <w:t xml:space="preserve">建设</w:t>
            </w:r>
            <w:r>
              <w:rPr>
                <w:rFonts w:hint="eastAsia" w:ascii="仿宋" w:hAnsi="仿宋" w:eastAsia="仿宋" w:cs="仿宋"/>
                <w:color w:val="auto"/>
                <w:highlight w:val="white"/>
              </w:rPr>
              <w:t xml:space="preserve">项目</w:t>
            </w:r>
            <w:r>
              <w:rPr>
                <w:rFonts w:hint="eastAsia" w:ascii="仿宋" w:hAnsi="仿宋" w:eastAsia="仿宋" w:cs="仿宋"/>
                <w:color w:val="auto"/>
                <w:highlight w:val="none"/>
                <w:lang w:val="en-US" w:eastAsia="zh-CN"/>
              </w:rPr>
              <w:t xml:space="preserve">需求的理解、方案完整性、专业性及可行性进行评审。实施方案内容包含但不限于：项目需求理解、项目进度计划与资源投入、各前端点位供电及传输条件分析、平台联调测试、人员培训、项目质量及工期管控、安全文明施工及质保保障机制等。</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本项满分10分，评审委员会根据投标人具体响应内容，按以下量化标准进行满足性判断：</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1.方案完整详尽，专业性、可行性强，考虑周全，思路清晰，完全满足项目需求，得10分；</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2.方案较为完整、针对性较强，思路基本清晰，能够满足项目需求，得7分；</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3.方案较为简单，针对性基本满足项目需求，得4分；</w:t>
            </w:r>
            <w:r/>
          </w:p>
          <w:p>
            <w:pPr>
              <w:pStyle w:val="665"/>
              <w:ind w:firstLine="420"/>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highlight w:val="none"/>
                <w:lang w:val="en-US" w:eastAsia="zh-CN"/>
              </w:rPr>
              <w:t xml:space="preserve">4.未提供实施方案，或方案内容严重缺失、不符合项目需求，不得分。</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default" w:ascii="仿宋" w:hAnsi="仿宋" w:eastAsia="仿宋" w:cs="仿宋"/>
                <w:b w:val="0"/>
                <w:bCs w:val="0"/>
                <w:color w:val="auto"/>
                <w:highlight w:val="none"/>
                <w:lang w:val="en-US" w:eastAsia="zh-CN"/>
              </w:rPr>
            </w:pPr>
            <w:r>
              <w:rPr>
                <w:rFonts w:hint="default" w:ascii="仿宋" w:hAnsi="仿宋" w:eastAsia="仿宋" w:cs="仿宋"/>
                <w:b w:val="0"/>
                <w:bCs w:val="0"/>
                <w:color w:val="auto"/>
                <w:highlight w:val="none"/>
                <w:lang w:val="en-US" w:eastAsia="zh-CN"/>
              </w:rPr>
              <w:t xml:space="preserve">重点难点</w:t>
            </w:r>
            <w:r/>
          </w:p>
          <w:p>
            <w:pPr>
              <w:jc w:val="center"/>
              <w:rPr>
                <w:rFonts w:hint="default" w:ascii="仿宋" w:hAnsi="仿宋" w:eastAsia="仿宋" w:cs="仿宋"/>
                <w:b w:val="0"/>
                <w:bCs w:val="0"/>
                <w:color w:val="auto"/>
                <w:highlight w:val="none"/>
                <w:lang w:val="en-US" w:eastAsia="zh-CN"/>
              </w:rPr>
            </w:pPr>
            <w:r>
              <w:rPr>
                <w:rFonts w:hint="default" w:ascii="仿宋" w:hAnsi="仿宋" w:eastAsia="仿宋" w:cs="仿宋"/>
                <w:b w:val="0"/>
                <w:bCs w:val="0"/>
                <w:color w:val="auto"/>
                <w:highlight w:val="none"/>
                <w:lang w:val="en-US" w:eastAsia="zh-CN"/>
              </w:rPr>
              <w:t xml:space="preserve">分析</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sz w:val="21"/>
                <w:szCs w:val="24"/>
                <w:highlight w:val="none"/>
                <w:lang w:val="en-US" w:eastAsia="zh-CN"/>
              </w:rPr>
              <w:t xml:space="preserve">10</w:t>
            </w:r>
            <w:r/>
          </w:p>
        </w:tc>
        <w:tc>
          <w:tcPr>
            <w:tcBorders>
              <w:left w:val="single" w:color="auto" w:sz="4" w:space="0"/>
              <w:right w:val="single" w:color="auto" w:sz="4" w:space="0"/>
            </w:tcBorders>
            <w:tcW w:w="5288" w:type="dxa"/>
            <w:vAlign w:val="center"/>
            <w:textDirection w:val="lrTb"/>
            <w:noWrap w:val="false"/>
          </w:tcPr>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根据投标人对</w:t>
            </w:r>
            <w:r>
              <w:rPr>
                <w:rFonts w:hint="eastAsia" w:ascii="仿宋" w:hAnsi="仿宋" w:eastAsia="仿宋" w:cs="仿宋"/>
                <w:color w:val="auto"/>
                <w:highlight w:val="white"/>
              </w:rPr>
              <w:t xml:space="preserve">本海防监控点位</w:t>
            </w:r>
            <w:r>
              <w:rPr>
                <w:rFonts w:hint="eastAsia" w:ascii="仿宋" w:hAnsi="仿宋" w:eastAsia="仿宋" w:cs="仿宋"/>
                <w:color w:val="auto"/>
                <w:highlight w:val="white"/>
                <w:lang w:val="en-US" w:eastAsia="zh-CN"/>
              </w:rPr>
              <w:t xml:space="preserve">建设</w:t>
            </w:r>
            <w:r>
              <w:rPr>
                <w:rFonts w:hint="eastAsia" w:ascii="仿宋" w:hAnsi="仿宋" w:eastAsia="仿宋" w:cs="仿宋"/>
                <w:color w:val="auto"/>
                <w:highlight w:val="white"/>
              </w:rPr>
              <w:t xml:space="preserve">项目</w:t>
            </w:r>
            <w:r>
              <w:rPr>
                <w:rFonts w:hint="eastAsia" w:ascii="仿宋" w:hAnsi="仿宋" w:eastAsia="仿宋" w:cs="仿宋"/>
                <w:color w:val="auto"/>
                <w:highlight w:val="none"/>
                <w:lang w:val="en-US" w:eastAsia="zh-CN"/>
              </w:rPr>
              <w:t xml:space="preserve">重点、难点的识别准确性，以及针对重点工作的保障措施、难点问题的解决方案专业性、可行性进行评审。重点涵盖专用设备调试(包含前端感知设备及太阳能供电系统等)、组网方案（包含各前端点位视频专网线路布放路径、无线VPN接入方式等）等相关内容。</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本项满分10分，评审委员会根据投标人具体响应内容，按以下量化标准进行满足性判断：</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1.能精准识别项目核心重点、难点，贴合海防公安技防项目实际，难点解决方案专业可行、针对性极强，得10分；</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2.能准确识别项目主要重点、难点，难点解决方案可行、有一定针对性，得7分；</w:t>
            </w:r>
            <w:r/>
          </w:p>
          <w:p>
            <w:pPr>
              <w:pStyle w:val="66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3.能识别项目部分重点、难点，难点解决方案针对性基本可行，得4分；</w:t>
            </w:r>
            <w:r/>
          </w:p>
          <w:p>
            <w:pPr>
              <w:pStyle w:val="665"/>
              <w:ind w:firstLine="420"/>
              <w:rPr>
                <w:rFonts w:hint="eastAsia" w:ascii="仿宋" w:hAnsi="仿宋" w:eastAsia="仿宋" w:cs="仿宋"/>
                <w:color w:val="auto"/>
                <w:sz w:val="21"/>
                <w:szCs w:val="21"/>
                <w:highlight w:val="none"/>
              </w:rPr>
            </w:pPr>
            <w:r>
              <w:rPr>
                <w:rFonts w:hint="eastAsia" w:ascii="仿宋" w:hAnsi="仿宋" w:eastAsia="仿宋" w:cs="仿宋"/>
                <w:color w:val="auto"/>
                <w:highlight w:val="none"/>
                <w:lang w:val="en-US" w:eastAsia="zh-CN"/>
              </w:rPr>
              <w:t xml:space="preserve">4.未提供重点难点分析相关内容，或重点、难点识别严重偏差，无有效解决方案，不得分。</w:t>
            </w:r>
            <w:r/>
          </w:p>
        </w:tc>
      </w:tr>
      <w:tr>
        <w:trPr>
          <w:jc w:val="center"/>
          <w:trHeight w:val="3241"/>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widowControl/>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bidi="ar"/>
              </w:rPr>
              <w:t xml:space="preserve">售后服务</w:t>
            </w:r>
            <w:r/>
          </w:p>
          <w:p>
            <w:pPr>
              <w:jc w:val="center"/>
              <w:widowControl/>
              <w:rPr>
                <w:rFonts w:hint="eastAsia" w:ascii="仿宋" w:hAnsi="仿宋" w:eastAsia="仿宋" w:cs="仿宋"/>
                <w:b w:val="0"/>
                <w:bCs w:val="0"/>
                <w:color w:val="auto"/>
                <w:highlight w:val="none"/>
              </w:rPr>
            </w:pPr>
            <w:r>
              <w:rPr>
                <w:rFonts w:hint="eastAsia" w:ascii="仿宋" w:hAnsi="仿宋" w:eastAsia="仿宋" w:cs="仿宋"/>
                <w:b w:val="0"/>
                <w:bCs w:val="0"/>
                <w:color w:val="auto"/>
                <w:sz w:val="21"/>
                <w:szCs w:val="21"/>
                <w:highlight w:val="white"/>
                <w:lang w:val="en-US" w:eastAsia="zh-CN" w:bidi="ar"/>
              </w:rPr>
              <w:t xml:space="preserve">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8</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根据投标人对本海防监控点位</w:t>
            </w:r>
            <w:r>
              <w:rPr>
                <w:rFonts w:hint="eastAsia" w:ascii="仿宋" w:hAnsi="仿宋" w:eastAsia="仿宋" w:cs="仿宋"/>
                <w:color w:val="auto"/>
                <w:highlight w:val="white"/>
                <w:lang w:val="en-US" w:eastAsia="zh-CN"/>
              </w:rPr>
              <w:t xml:space="preserve">建设</w:t>
            </w:r>
            <w:r>
              <w:rPr>
                <w:rFonts w:hint="eastAsia" w:ascii="仿宋" w:hAnsi="仿宋" w:eastAsia="仿宋" w:cs="仿宋"/>
                <w:color w:val="auto"/>
                <w:highlight w:val="white"/>
              </w:rPr>
              <w:t xml:space="preserve">项目售后服务需求的理解、方案完整性、专业性及可行性进行评审。售后服务方案内容包含但不限于：运维组织架构、故障处理保障措施、运维效率提升措施等。</w:t>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本项满分</w:t>
            </w:r>
            <w:r>
              <w:rPr>
                <w:rFonts w:hint="eastAsia" w:ascii="仿宋" w:hAnsi="仿宋" w:eastAsia="仿宋" w:cs="仿宋"/>
                <w:color w:val="auto"/>
                <w:highlight w:val="white"/>
                <w:lang w:val="en-US" w:eastAsia="zh-CN"/>
              </w:rPr>
              <w:t xml:space="preserve">8</w:t>
            </w:r>
            <w:r>
              <w:rPr>
                <w:rFonts w:hint="eastAsia" w:ascii="仿宋" w:hAnsi="仿宋" w:eastAsia="仿宋" w:cs="仿宋"/>
                <w:color w:val="auto"/>
                <w:highlight w:val="white"/>
              </w:rPr>
              <w:t xml:space="preserve">分，评审委员会根据投标人具体响应内容，按以下量化标准进行满足性判断：</w:t>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1.方案完整详尽，专业性、可行性强，考虑周全，思路清晰，完全满足项目售后需求，得</w:t>
            </w:r>
            <w:r>
              <w:rPr>
                <w:rFonts w:hint="eastAsia" w:ascii="仿宋" w:hAnsi="仿宋" w:eastAsia="仿宋" w:cs="仿宋"/>
                <w:color w:val="auto"/>
                <w:highlight w:val="white"/>
                <w:lang w:val="en-US" w:eastAsia="zh-CN"/>
              </w:rPr>
              <w:t xml:space="preserve">8</w:t>
            </w:r>
            <w:r>
              <w:rPr>
                <w:rFonts w:hint="eastAsia" w:ascii="仿宋" w:hAnsi="仿宋" w:eastAsia="仿宋" w:cs="仿宋"/>
                <w:color w:val="auto"/>
                <w:highlight w:val="white"/>
              </w:rPr>
              <w:t xml:space="preserve">分；</w:t>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2.方案较为完整、针对性较强，思路基本清晰，能够满足项目售后需求，得</w:t>
            </w:r>
            <w:r>
              <w:rPr>
                <w:rFonts w:hint="eastAsia" w:ascii="仿宋" w:hAnsi="仿宋" w:eastAsia="仿宋" w:cs="仿宋"/>
                <w:color w:val="auto"/>
                <w:highlight w:val="white"/>
                <w:lang w:val="en-US" w:eastAsia="zh-CN"/>
              </w:rPr>
              <w:t xml:space="preserve">5</w:t>
            </w:r>
            <w:r>
              <w:rPr>
                <w:rFonts w:hint="eastAsia" w:ascii="仿宋" w:hAnsi="仿宋" w:eastAsia="仿宋" w:cs="仿宋"/>
                <w:color w:val="auto"/>
                <w:highlight w:val="white"/>
              </w:rPr>
              <w:t xml:space="preserve">分；</w:t>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3.方案较为简单，针对性基本满足项目售后需求，得</w:t>
            </w:r>
            <w:r>
              <w:rPr>
                <w:rFonts w:hint="eastAsia" w:ascii="仿宋" w:hAnsi="仿宋" w:eastAsia="仿宋" w:cs="仿宋"/>
                <w:color w:val="auto"/>
                <w:highlight w:val="white"/>
                <w:lang w:val="en-US" w:eastAsia="zh-CN"/>
              </w:rPr>
              <w:t xml:space="preserve">2</w:t>
            </w:r>
            <w:r>
              <w:rPr>
                <w:rFonts w:hint="eastAsia" w:ascii="仿宋" w:hAnsi="仿宋" w:eastAsia="仿宋" w:cs="仿宋"/>
                <w:color w:val="auto"/>
                <w:highlight w:val="white"/>
              </w:rPr>
              <w:t xml:space="preserve">分；</w:t>
            </w:r>
            <w:r/>
          </w:p>
          <w:p>
            <w:pPr>
              <w:ind w:firstLine="420"/>
              <w:jc w:val="left"/>
              <w:widowControl/>
              <w:rPr>
                <w:rFonts w:hint="eastAsia" w:ascii="仿宋" w:hAnsi="仿宋" w:eastAsia="仿宋" w:cs="仿宋"/>
                <w:color w:val="auto"/>
                <w:highlight w:val="white"/>
              </w:rPr>
            </w:pPr>
            <w:r>
              <w:rPr>
                <w:rFonts w:hint="eastAsia" w:ascii="仿宋" w:hAnsi="仿宋" w:eastAsia="仿宋" w:cs="仿宋"/>
                <w:color w:val="auto"/>
                <w:highlight w:val="white"/>
              </w:rPr>
              <w:t xml:space="preserve">4.未提供售后服务方案，或方案内容严重缺失、不符合项目售后需求，不得分。</w:t>
            </w:r>
            <w:r/>
          </w:p>
        </w:tc>
      </w:tr>
      <w:tr>
        <w:trPr>
          <w:jc w:val="center"/>
          <w:trHeight w:val="212"/>
        </w:trPr>
        <w:tc>
          <w:tcPr>
            <w:tcBorders>
              <w:left w:val="single" w:color="auto" w:sz="4" w:space="0"/>
              <w:right w:val="single" w:color="auto" w:sz="4" w:space="0"/>
            </w:tcBorders>
            <w:tcW w:w="575"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履约能力</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color w:val="auto"/>
                <w:highlight w:val="yellow"/>
              </w:rPr>
            </w:pPr>
            <w:r/>
            <w:bookmarkStart w:id="198" w:name="OLE_LINK27"/>
            <w:r>
              <w:rPr>
                <w:rFonts w:hint="eastAsia" w:ascii="仿宋" w:hAnsi="仿宋" w:eastAsia="仿宋" w:cs="仿宋"/>
                <w:b/>
                <w:bCs/>
                <w:color w:val="auto"/>
                <w:highlight w:val="yellow"/>
                <w:lang w:val="en-US" w:eastAsia="zh-CN"/>
              </w:rPr>
              <w:t xml:space="preserve">企业资信</w:t>
            </w:r>
            <w:bookmarkEnd w:id="198"/>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bCs/>
                <w:color w:val="auto"/>
                <w:highlight w:val="yellow"/>
              </w:rPr>
            </w:pPr>
            <w:r>
              <w:rPr>
                <w:rFonts w:hint="eastAsia" w:ascii="仿宋" w:hAnsi="仿宋" w:eastAsia="仿宋" w:cs="仿宋"/>
                <w:b/>
                <w:bCs/>
                <w:color w:val="auto"/>
                <w:highlight w:val="yellow"/>
                <w:lang w:val="en-US" w:eastAsia="zh-CN"/>
              </w:rPr>
              <w:t xml:space="preserve">5</w:t>
            </w:r>
            <w:r/>
          </w:p>
        </w:tc>
        <w:tc>
          <w:tcPr>
            <w:tcBorders>
              <w:top w:val="single" w:color="auto" w:sz="4" w:space="0"/>
              <w:left w:val="single" w:color="auto" w:sz="4" w:space="0"/>
              <w:right w:val="single" w:color="auto" w:sz="4" w:space="0"/>
            </w:tcBorders>
            <w:tcW w:w="5288" w:type="dxa"/>
            <w:vAlign w:val="center"/>
            <w:textDirection w:val="lrTb"/>
            <w:noWrap w:val="false"/>
          </w:tcPr>
          <w:p>
            <w:pPr>
              <w:ind w:firstLine="420"/>
              <w:jc w:val="left"/>
              <w:spacing w:line="300" w:lineRule="exact"/>
              <w:rPr>
                <w:rFonts w:hint="eastAsia" w:ascii="仿宋" w:hAnsi="仿宋" w:eastAsia="仿宋" w:cs="仿宋"/>
                <w:b/>
                <w:bCs/>
                <w:color w:val="auto"/>
                <w:szCs w:val="21"/>
                <w:highlight w:val="yellow"/>
              </w:rPr>
            </w:pPr>
            <w:r/>
            <w:bookmarkStart w:id="199" w:name="OLE_LINK28"/>
            <w:r>
              <w:rPr>
                <w:rFonts w:hint="eastAsia" w:ascii="仿宋" w:hAnsi="仿宋" w:eastAsia="仿宋" w:cs="仿宋"/>
                <w:b/>
                <w:bCs/>
                <w:color w:val="auto"/>
                <w:szCs w:val="21"/>
                <w:highlight w:val="yellow"/>
                <w:lang w:val="en-US" w:eastAsia="zh-CN"/>
              </w:rPr>
              <w:t xml:space="preserve">投标人具有有效的IS9001质量管理体系认证、ISO14001环境管理体系认证、ISO45001职业健康安全管理体系认证、ISO20000信息技术服务管理体系认证、ISO27001信息安全管理体系认证证书，每提供1个有效证书得1分，本项最高得5分。</w:t>
            </w:r>
            <w:r/>
          </w:p>
          <w:p>
            <w:pPr>
              <w:ind w:firstLine="420"/>
              <w:jc w:val="left"/>
              <w:spacing w:line="300" w:lineRule="exact"/>
              <w:rPr>
                <w:rFonts w:hint="default" w:ascii="仿宋" w:hAnsi="仿宋" w:eastAsia="仿宋" w:cs="仿宋"/>
                <w:b/>
                <w:bCs/>
                <w:color w:val="auto"/>
                <w:szCs w:val="21"/>
                <w:highlight w:val="yellow"/>
              </w:rPr>
            </w:pPr>
            <w:r>
              <w:rPr>
                <w:rFonts w:hint="eastAsia" w:ascii="仿宋" w:hAnsi="仿宋" w:eastAsia="仿宋" w:cs="仿宋"/>
                <w:b/>
                <w:bCs/>
                <w:color w:val="auto"/>
                <w:szCs w:val="21"/>
                <w:highlight w:val="yellow"/>
                <w:lang w:val="en-US" w:eastAsia="zh-CN"/>
              </w:rPr>
              <w:t xml:space="preserve">注：投标文件中需提供以上有效证书扫描件，须同时提供全国认证认可信息公共服务平台官网（网址：http://cx.cnca.cn/）证书信息查询截图，否则该项不得分。</w:t>
            </w:r>
            <w:bookmarkEnd w:id="199"/>
            <w:r/>
            <w:r/>
          </w:p>
        </w:tc>
      </w:tr>
      <w:tr>
        <w:trPr>
          <w:jc w:val="center"/>
          <w:trHeight w:val="1820"/>
        </w:trPr>
        <w:tc>
          <w:tcPr>
            <w:tcBorders>
              <w:left w:val="single" w:color="auto" w:sz="4" w:space="0"/>
              <w:right w:val="single" w:color="auto" w:sz="4" w:space="0"/>
            </w:tcBorders>
            <w:tcW w:w="575" w:type="dxa"/>
            <w:vAlign w:val="center"/>
            <w:vMerge w:val="continue"/>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default" w:ascii="仿宋" w:hAnsi="仿宋" w:eastAsia="仿宋" w:cs="仿宋"/>
                <w:b/>
                <w:bCs/>
                <w:color w:val="auto"/>
                <w:highlight w:val="yellow"/>
                <w:lang w:val="en-US" w:eastAsia="zh-CN"/>
              </w:rPr>
            </w:pPr>
            <w:r>
              <w:rPr>
                <w:rFonts w:hint="eastAsia" w:ascii="仿宋" w:hAnsi="仿宋" w:eastAsia="仿宋" w:cs="仿宋"/>
                <w:b/>
                <w:bCs/>
                <w:color w:val="auto"/>
                <w:highlight w:val="yellow"/>
                <w:lang w:val="en-US" w:eastAsia="zh-CN"/>
              </w:rPr>
              <w:t xml:space="preserve">人员配置</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bCs/>
                <w:color w:val="auto"/>
                <w:sz w:val="21"/>
                <w:szCs w:val="24"/>
                <w:highlight w:val="yellow"/>
              </w:rPr>
            </w:pPr>
            <w:r>
              <w:rPr>
                <w:rFonts w:hint="eastAsia" w:ascii="仿宋" w:hAnsi="仿宋" w:eastAsia="仿宋" w:cs="仿宋"/>
                <w:b/>
                <w:bCs/>
                <w:color w:val="auto"/>
                <w:highlight w:val="yellow"/>
                <w:lang w:val="en-US" w:eastAsia="zh-CN"/>
              </w:rPr>
              <w:t xml:space="preserve">4</w:t>
            </w:r>
            <w:r/>
          </w:p>
        </w:tc>
        <w:tc>
          <w:tcPr>
            <w:tcBorders>
              <w:left w:val="single" w:color="auto" w:sz="4" w:space="0"/>
              <w:right w:val="single" w:color="auto" w:sz="4" w:space="0"/>
            </w:tcBorders>
            <w:tcW w:w="5288" w:type="dxa"/>
            <w:vAlign w:val="center"/>
            <w:textDirection w:val="lrTb"/>
            <w:noWrap w:val="false"/>
          </w:tcPr>
          <w:p>
            <w:pPr>
              <w:contextualSpacing/>
              <w:ind w:firstLine="422"/>
              <w:jc w:val="both"/>
              <w:rPr>
                <w:rFonts w:hint="eastAsia" w:ascii="仿宋" w:hAnsi="仿宋" w:eastAsia="仿宋" w:cs="仿宋"/>
                <w:b/>
                <w:bCs/>
                <w:color w:val="auto"/>
                <w:sz w:val="21"/>
                <w:szCs w:val="21"/>
                <w:highlight w:val="yellow"/>
              </w:rPr>
            </w:pPr>
            <w:r/>
            <w:bookmarkStart w:id="200" w:name="OLE_LINK30"/>
            <w:r>
              <w:rPr>
                <w:rFonts w:hint="eastAsia" w:ascii="仿宋" w:hAnsi="仿宋" w:eastAsia="仿宋" w:cs="仿宋"/>
                <w:b/>
                <w:bCs/>
                <w:color w:val="auto"/>
                <w:sz w:val="21"/>
                <w:szCs w:val="21"/>
                <w:highlight w:val="yellow"/>
                <w:lang w:val="en-US" w:eastAsia="zh-CN"/>
              </w:rPr>
              <w:t xml:space="preserve">1.</w:t>
            </w:r>
            <w:r>
              <w:rPr>
                <w:rFonts w:hint="eastAsia" w:ascii="仿宋" w:hAnsi="仿宋" w:eastAsia="仿宋" w:cs="仿宋"/>
                <w:b/>
                <w:bCs/>
                <w:color w:val="auto"/>
                <w:sz w:val="21"/>
                <w:szCs w:val="21"/>
                <w:highlight w:val="yellow"/>
              </w:rPr>
              <w:t xml:space="preserve">项目</w:t>
            </w:r>
            <w:r>
              <w:rPr>
                <w:rFonts w:hint="eastAsia" w:ascii="仿宋" w:hAnsi="仿宋" w:eastAsia="仿宋" w:cs="仿宋"/>
                <w:b/>
                <w:bCs/>
                <w:color w:val="auto"/>
                <w:sz w:val="21"/>
                <w:szCs w:val="21"/>
                <w:highlight w:val="yellow"/>
                <w:lang w:val="en-US" w:eastAsia="zh-CN"/>
              </w:rPr>
              <w:t xml:space="preserve">负责人：</w:t>
            </w:r>
            <w:r/>
          </w:p>
          <w:p>
            <w:pPr>
              <w:ind w:firstLine="420"/>
              <w:jc w:val="left"/>
              <w:widowControl/>
              <w:rPr>
                <w:rFonts w:hint="eastAsia" w:ascii="仿宋" w:hAnsi="仿宋" w:eastAsia="仿宋" w:cs="仿宋"/>
                <w:b/>
                <w:bCs/>
                <w:color w:val="auto"/>
                <w:sz w:val="21"/>
                <w:szCs w:val="21"/>
                <w:highlight w:val="yellow"/>
                <w:lang w:val="en-US" w:eastAsia="zh-CN"/>
              </w:rPr>
            </w:pPr>
            <w:r>
              <w:rPr>
                <w:rFonts w:hint="eastAsia" w:ascii="仿宋" w:hAnsi="仿宋" w:eastAsia="仿宋" w:cs="仿宋"/>
                <w:b/>
                <w:bCs/>
                <w:color w:val="auto"/>
                <w:sz w:val="21"/>
                <w:szCs w:val="21"/>
                <w:highlight w:val="yellow"/>
                <w:lang w:val="zh-CN" w:bidi="ar"/>
              </w:rPr>
              <w:t xml:space="preserve">投标人针对本项目拟派的项目负责人</w:t>
            </w:r>
            <w:r>
              <w:rPr>
                <w:rFonts w:hint="eastAsia" w:ascii="仿宋" w:hAnsi="仿宋" w:eastAsia="仿宋" w:cs="仿宋"/>
                <w:b/>
                <w:bCs/>
                <w:color w:val="auto"/>
                <w:sz w:val="21"/>
                <w:szCs w:val="21"/>
                <w:highlight w:val="yellow"/>
              </w:rPr>
              <w:t xml:space="preserve">具有</w:t>
            </w:r>
            <w:r>
              <w:rPr>
                <w:rFonts w:hint="eastAsia" w:ascii="仿宋" w:hAnsi="仿宋" w:eastAsia="仿宋" w:cs="仿宋"/>
                <w:b/>
                <w:bCs/>
                <w:color w:val="auto"/>
                <w:sz w:val="21"/>
                <w:szCs w:val="21"/>
                <w:highlight w:val="yellow"/>
                <w:lang w:eastAsia="zh-CN"/>
              </w:rPr>
              <w:t xml:space="preserve">高级</w:t>
            </w:r>
            <w:r>
              <w:rPr>
                <w:rFonts w:hint="eastAsia" w:ascii="仿宋" w:hAnsi="仿宋" w:eastAsia="仿宋" w:cs="仿宋"/>
                <w:b/>
                <w:bCs/>
                <w:color w:val="auto"/>
                <w:sz w:val="21"/>
                <w:szCs w:val="21"/>
                <w:highlight w:val="yellow"/>
              </w:rPr>
              <w:t xml:space="preserve">信息系统项目管理师认证证书、</w:t>
            </w:r>
            <w:r>
              <w:rPr>
                <w:rFonts w:hint="eastAsia" w:ascii="仿宋" w:hAnsi="仿宋" w:eastAsia="仿宋" w:cs="仿宋"/>
                <w:b/>
                <w:bCs/>
                <w:color w:val="auto"/>
                <w:sz w:val="21"/>
                <w:szCs w:val="21"/>
                <w:highlight w:val="yellow"/>
                <w:lang w:eastAsia="zh-CN"/>
              </w:rPr>
              <w:t xml:space="preserve">高级工程师</w:t>
            </w:r>
            <w:r>
              <w:rPr>
                <w:rFonts w:hint="eastAsia" w:ascii="仿宋" w:hAnsi="仿宋" w:eastAsia="仿宋" w:cs="仿宋"/>
                <w:b/>
                <w:bCs/>
                <w:color w:val="auto"/>
                <w:sz w:val="21"/>
                <w:szCs w:val="21"/>
                <w:highlight w:val="yellow"/>
              </w:rPr>
              <w:t xml:space="preserve">，每</w:t>
            </w:r>
            <w:r>
              <w:rPr>
                <w:rFonts w:hint="eastAsia" w:ascii="仿宋" w:hAnsi="仿宋" w:eastAsia="仿宋" w:cs="仿宋"/>
                <w:b/>
                <w:bCs/>
                <w:color w:val="auto"/>
                <w:sz w:val="21"/>
                <w:szCs w:val="21"/>
                <w:highlight w:val="yellow"/>
                <w:lang w:val="en-US" w:eastAsia="zh-CN"/>
              </w:rPr>
              <w:t xml:space="preserve">提供一</w:t>
            </w:r>
            <w:r>
              <w:rPr>
                <w:rFonts w:hint="eastAsia" w:ascii="仿宋" w:hAnsi="仿宋" w:eastAsia="仿宋" w:cs="仿宋"/>
                <w:b/>
                <w:bCs/>
                <w:color w:val="auto"/>
                <w:sz w:val="21"/>
                <w:szCs w:val="21"/>
                <w:highlight w:val="yellow"/>
              </w:rPr>
              <w:t xml:space="preserve">项</w:t>
            </w:r>
            <w:r>
              <w:rPr>
                <w:rFonts w:hint="eastAsia" w:ascii="仿宋" w:hAnsi="仿宋" w:eastAsia="仿宋" w:cs="仿宋"/>
                <w:b/>
                <w:bCs/>
                <w:color w:val="auto"/>
                <w:sz w:val="21"/>
                <w:szCs w:val="21"/>
                <w:highlight w:val="yellow"/>
                <w:lang w:val="en-US" w:eastAsia="zh-CN"/>
              </w:rPr>
              <w:t xml:space="preserve">有效证书</w:t>
            </w:r>
            <w:r>
              <w:rPr>
                <w:rFonts w:hint="eastAsia" w:ascii="仿宋" w:hAnsi="仿宋" w:eastAsia="仿宋" w:cs="仿宋"/>
                <w:b/>
                <w:bCs/>
                <w:color w:val="auto"/>
                <w:sz w:val="21"/>
                <w:szCs w:val="21"/>
                <w:highlight w:val="yellow"/>
              </w:rPr>
              <w:t xml:space="preserve">得1分</w:t>
            </w:r>
            <w:r>
              <w:rPr>
                <w:rFonts w:hint="eastAsia" w:ascii="仿宋" w:hAnsi="仿宋" w:eastAsia="仿宋" w:cs="仿宋"/>
                <w:b/>
                <w:bCs/>
                <w:color w:val="auto"/>
                <w:sz w:val="21"/>
                <w:szCs w:val="21"/>
                <w:highlight w:val="yellow"/>
                <w:lang w:eastAsia="zh-CN"/>
              </w:rPr>
              <w:t xml:space="preserve">，满分</w:t>
            </w:r>
            <w:r>
              <w:rPr>
                <w:rFonts w:hint="eastAsia" w:ascii="仿宋" w:hAnsi="仿宋" w:eastAsia="仿宋" w:cs="仿宋"/>
                <w:b/>
                <w:bCs/>
                <w:color w:val="auto"/>
                <w:sz w:val="21"/>
                <w:szCs w:val="21"/>
                <w:highlight w:val="yellow"/>
                <w:lang w:val="en-US" w:eastAsia="zh-CN"/>
              </w:rPr>
              <w:t xml:space="preserve">2分。</w:t>
            </w:r>
            <w:r/>
          </w:p>
          <w:p>
            <w:pPr>
              <w:contextualSpacing/>
              <w:ind w:firstLine="422"/>
              <w:jc w:val="both"/>
              <w:rPr>
                <w:rFonts w:hint="eastAsia" w:ascii="仿宋" w:hAnsi="仿宋" w:eastAsia="仿宋" w:cs="仿宋"/>
                <w:b/>
                <w:bCs/>
                <w:color w:val="auto"/>
                <w:sz w:val="21"/>
                <w:szCs w:val="21"/>
                <w:highlight w:val="yellow"/>
              </w:rPr>
            </w:pPr>
            <w:r>
              <w:rPr>
                <w:rFonts w:hint="eastAsia" w:ascii="仿宋" w:hAnsi="仿宋" w:eastAsia="仿宋" w:cs="仿宋"/>
                <w:b/>
                <w:bCs/>
                <w:color w:val="auto"/>
                <w:sz w:val="21"/>
                <w:szCs w:val="21"/>
                <w:highlight w:val="yellow"/>
                <w:lang w:val="en-US" w:eastAsia="zh-CN"/>
              </w:rPr>
              <w:t xml:space="preserve">2.项目组成员（不包括项目负责人）：</w:t>
            </w:r>
            <w:bookmarkEnd w:id="200"/>
            <w:r/>
          </w:p>
          <w:p>
            <w:pPr>
              <w:ind w:firstLine="420"/>
              <w:jc w:val="left"/>
              <w:widowControl/>
              <w:rPr>
                <w:rFonts w:hint="default" w:ascii="仿宋" w:hAnsi="仿宋" w:eastAsia="仿宋" w:cs="仿宋"/>
                <w:b/>
                <w:bCs/>
                <w:color w:val="auto"/>
                <w:sz w:val="21"/>
                <w:szCs w:val="21"/>
                <w:highlight w:val="yellow"/>
                <w:lang w:val="en-US" w:eastAsia="zh-CN"/>
              </w:rPr>
            </w:pPr>
            <w:r>
              <w:rPr>
                <w:rFonts w:hint="eastAsia" w:ascii="仿宋" w:hAnsi="仿宋" w:eastAsia="仿宋" w:cs="仿宋"/>
                <w:b/>
                <w:bCs/>
                <w:color w:val="auto"/>
                <w:sz w:val="21"/>
                <w:szCs w:val="21"/>
                <w:highlight w:val="yellow"/>
                <w:lang w:val="en-US" w:eastAsia="zh-CN" w:bidi="ar-SA"/>
              </w:rPr>
              <w:t xml:space="preserve">项目组成员中具有系统集成项目管理工程师、网络规划设计师，每提供一项有效证书得1分，满分2分。</w:t>
            </w:r>
            <w:r/>
          </w:p>
          <w:p>
            <w:pPr>
              <w:ind w:firstLine="422"/>
              <w:jc w:val="left"/>
              <w:spacing w:line="300" w:lineRule="exact"/>
              <w:rPr>
                <w:rFonts w:hint="eastAsia" w:ascii="仿宋" w:hAnsi="仿宋" w:eastAsia="仿宋" w:cs="仿宋"/>
                <w:b/>
                <w:bCs/>
                <w:color w:val="auto"/>
                <w:sz w:val="21"/>
                <w:szCs w:val="24"/>
                <w:highlight w:val="yellow"/>
              </w:rPr>
            </w:pPr>
            <w:r>
              <w:rPr>
                <w:rFonts w:hint="eastAsia" w:ascii="仿宋" w:hAnsi="仿宋" w:eastAsia="仿宋" w:cs="仿宋"/>
                <w:b/>
                <w:bCs/>
                <w:color w:val="auto"/>
                <w:sz w:val="21"/>
                <w:szCs w:val="21"/>
                <w:highlight w:val="yellow"/>
                <w:lang w:val="zh-CN" w:bidi="ar"/>
              </w:rPr>
              <w:t xml:space="preserve">注：</w:t>
            </w:r>
            <w:r>
              <w:rPr>
                <w:rFonts w:hint="eastAsia" w:ascii="仿宋" w:hAnsi="仿宋" w:eastAsia="仿宋" w:cs="仿宋"/>
                <w:b/>
                <w:bCs/>
                <w:color w:val="auto"/>
                <w:sz w:val="21"/>
                <w:szCs w:val="21"/>
                <w:highlight w:val="yellow"/>
                <w:lang w:val="en-US" w:eastAsia="zh-CN" w:bidi="ar"/>
              </w:rPr>
              <w:t xml:space="preserve">提供项目组成员一览表、相关</w:t>
            </w:r>
            <w:r>
              <w:rPr>
                <w:rFonts w:hint="eastAsia" w:ascii="仿宋" w:hAnsi="仿宋" w:eastAsia="仿宋" w:cs="仿宋"/>
                <w:b/>
                <w:bCs/>
                <w:color w:val="auto"/>
                <w:sz w:val="21"/>
                <w:szCs w:val="21"/>
                <w:highlight w:val="yellow"/>
                <w:lang w:val="zh-CN" w:bidi="ar"/>
              </w:rPr>
              <w:t xml:space="preserve">证书（证书需在有效期内）</w:t>
            </w:r>
            <w:r>
              <w:rPr>
                <w:rFonts w:hint="eastAsia" w:ascii="仿宋" w:hAnsi="仿宋" w:eastAsia="仿宋" w:cs="仿宋"/>
                <w:b/>
                <w:bCs/>
                <w:color w:val="auto"/>
                <w:sz w:val="21"/>
                <w:szCs w:val="21"/>
                <w:highlight w:val="yellow"/>
                <w:lang w:val="en-US" w:eastAsia="zh-CN" w:bidi="ar"/>
              </w:rPr>
              <w:t xml:space="preserve">扫描</w:t>
            </w:r>
            <w:r>
              <w:rPr>
                <w:rFonts w:hint="eastAsia" w:ascii="仿宋" w:hAnsi="仿宋" w:eastAsia="仿宋" w:cs="仿宋"/>
                <w:b/>
                <w:bCs/>
                <w:color w:val="auto"/>
                <w:sz w:val="21"/>
                <w:szCs w:val="21"/>
                <w:highlight w:val="yellow"/>
                <w:lang w:val="zh-CN" w:bidi="ar"/>
              </w:rPr>
              <w:t xml:space="preserve">件和本单位为其缴纳的社保证明（从投标截止日当月向前3个月内任意一个月的</w:t>
            </w:r>
            <w:r>
              <w:rPr>
                <w:rFonts w:hint="eastAsia" w:ascii="仿宋" w:hAnsi="仿宋" w:eastAsia="仿宋" w:cs="仿宋"/>
                <w:b/>
                <w:bCs/>
                <w:color w:val="auto"/>
                <w:sz w:val="21"/>
                <w:szCs w:val="21"/>
                <w:highlight w:val="yellow"/>
                <w:lang w:val="en-US" w:eastAsia="zh-CN" w:bidi="ar"/>
              </w:rPr>
              <w:t xml:space="preserve">缴费记录</w:t>
            </w:r>
            <w:r>
              <w:rPr>
                <w:rFonts w:hint="eastAsia" w:ascii="仿宋" w:hAnsi="仿宋" w:eastAsia="仿宋" w:cs="仿宋"/>
                <w:b/>
                <w:bCs/>
                <w:color w:val="auto"/>
                <w:sz w:val="21"/>
                <w:szCs w:val="21"/>
                <w:highlight w:val="yellow"/>
                <w:lang w:val="zh-CN" w:bidi="ar"/>
              </w:rPr>
              <w:t xml:space="preserve">）材料</w:t>
            </w:r>
            <w:r>
              <w:rPr>
                <w:rFonts w:hint="eastAsia" w:ascii="仿宋" w:hAnsi="仿宋" w:eastAsia="仿宋" w:cs="仿宋"/>
                <w:b/>
                <w:bCs/>
                <w:color w:val="auto"/>
                <w:sz w:val="21"/>
                <w:szCs w:val="21"/>
                <w:highlight w:val="yellow"/>
                <w:lang w:val="en-US" w:eastAsia="zh-CN" w:bidi="ar"/>
              </w:rPr>
              <w:t xml:space="preserve">并</w:t>
            </w:r>
            <w:r>
              <w:rPr>
                <w:rFonts w:hint="eastAsia" w:ascii="仿宋" w:hAnsi="仿宋" w:eastAsia="仿宋" w:cs="仿宋"/>
                <w:b/>
                <w:bCs/>
                <w:color w:val="auto"/>
                <w:sz w:val="21"/>
                <w:szCs w:val="21"/>
                <w:highlight w:val="yellow"/>
                <w:lang w:val="zh-CN" w:bidi="ar"/>
              </w:rPr>
              <w:t xml:space="preserve">加盖投标人</w:t>
            </w:r>
            <w:r>
              <w:rPr>
                <w:rFonts w:hint="eastAsia" w:ascii="仿宋" w:hAnsi="仿宋" w:eastAsia="仿宋" w:cs="仿宋"/>
                <w:b/>
                <w:bCs/>
                <w:color w:val="auto"/>
                <w:sz w:val="21"/>
                <w:szCs w:val="21"/>
                <w:highlight w:val="yellow"/>
                <w:lang w:val="en-US" w:eastAsia="zh-CN" w:bidi="ar"/>
              </w:rPr>
              <w:t xml:space="preserve">章印。</w:t>
            </w:r>
            <w:r/>
          </w:p>
        </w:tc>
      </w:tr>
      <w:tr>
        <w:trPr>
          <w:jc w:val="center"/>
          <w:trHeight w:val="862"/>
        </w:trPr>
        <w:tc>
          <w:tcPr>
            <w:tcBorders>
              <w:left w:val="single" w:color="auto" w:sz="4" w:space="0"/>
              <w:right w:val="single" w:color="auto" w:sz="4" w:space="0"/>
            </w:tcBorders>
            <w:tcW w:w="575" w:type="dxa"/>
            <w:vAlign w:val="center"/>
            <w:vMerge w:val="continue"/>
            <w:textDirection w:val="lrTb"/>
            <w:noWrap w:val="false"/>
          </w:tcPr>
          <w:p>
            <w:pPr>
              <w:jc w:val="center"/>
            </w:pPr>
            <w:r/>
            <w:r/>
          </w:p>
        </w:tc>
        <w:tc>
          <w:tcPr>
            <w:tcBorders>
              <w:left w:val="single" w:color="auto" w:sz="4" w:space="0"/>
              <w:right w:val="single" w:color="auto" w:sz="4" w:space="0"/>
            </w:tcBorders>
            <w:tcW w:w="1118" w:type="dxa"/>
            <w:vAlign w:val="center"/>
            <w:vMerge w:val="continue"/>
            <w:textDirection w:val="lrTb"/>
            <w:noWrap w:val="false"/>
          </w:tcPr>
          <w:p>
            <w:pPr>
              <w:jc w:val="center"/>
            </w:p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bCs/>
                <w:color w:val="auto"/>
                <w:highlight w:val="yellow"/>
                <w:lang w:val="en-US" w:eastAsia="zh-CN"/>
              </w:rPr>
            </w:pPr>
            <w:r>
              <w:rPr>
                <w:rFonts w:hint="eastAsia" w:ascii="仿宋" w:hAnsi="仿宋" w:eastAsia="仿宋" w:cs="仿宋"/>
                <w:b/>
                <w:bCs/>
                <w:color w:val="auto"/>
                <w:highlight w:val="yellow"/>
                <w:lang w:val="en-US" w:eastAsia="zh-CN"/>
              </w:rPr>
              <w:t xml:space="preserve">增值服务</w:t>
            </w:r>
            <w:r/>
          </w:p>
          <w:p>
            <w:pPr>
              <w:jc w:val="center"/>
              <w:rPr>
                <w:rFonts w:hint="default" w:ascii="仿宋" w:hAnsi="仿宋" w:eastAsia="仿宋" w:cs="仿宋"/>
                <w:b/>
                <w:bCs/>
                <w:color w:val="auto"/>
                <w:highlight w:val="yellow"/>
                <w:lang w:val="en-US" w:eastAsia="zh-CN"/>
              </w:rPr>
            </w:pPr>
            <w:r>
              <w:rPr>
                <w:rFonts w:hint="eastAsia" w:ascii="仿宋" w:hAnsi="仿宋" w:eastAsia="仿宋" w:cs="仿宋"/>
                <w:b/>
                <w:bCs/>
                <w:color w:val="auto"/>
                <w:highlight w:val="yellow"/>
                <w:lang w:val="en-US" w:eastAsia="zh-CN"/>
              </w:rPr>
              <w:t xml:space="preserve">承诺</w:t>
            </w:r>
            <w:r/>
          </w:p>
        </w:tc>
        <w:tc>
          <w:tcPr>
            <w:tcBorders>
              <w:left w:val="single" w:color="auto" w:sz="4" w:space="0"/>
              <w:right w:val="single" w:color="auto" w:sz="4" w:space="0"/>
            </w:tcBorders>
            <w:tcW w:w="818" w:type="dxa"/>
            <w:vAlign w:val="center"/>
            <w:textDirection w:val="lrTb"/>
            <w:noWrap w:val="false"/>
          </w:tcPr>
          <w:p>
            <w:pPr>
              <w:jc w:val="center"/>
              <w:rPr>
                <w:rFonts w:hint="default" w:ascii="仿宋" w:hAnsi="仿宋" w:eastAsia="仿宋" w:cs="仿宋"/>
                <w:b/>
                <w:bCs/>
                <w:color w:val="auto"/>
                <w:highlight w:val="yellow"/>
                <w:lang w:val="en-US" w:eastAsia="zh-CN"/>
              </w:rPr>
            </w:pPr>
            <w:r>
              <w:rPr>
                <w:rFonts w:hint="eastAsia" w:ascii="仿宋" w:hAnsi="仿宋" w:eastAsia="仿宋" w:cs="仿宋"/>
                <w:b/>
                <w:bCs/>
                <w:color w:val="auto"/>
                <w:highlight w:val="yellow"/>
                <w:lang w:val="en-US" w:eastAsia="zh-CN"/>
              </w:rPr>
              <w:t xml:space="preserve">5</w:t>
            </w:r>
            <w:r/>
          </w:p>
        </w:tc>
        <w:tc>
          <w:tcPr>
            <w:tcBorders>
              <w:left w:val="single" w:color="auto" w:sz="4" w:space="0"/>
              <w:right w:val="single" w:color="auto" w:sz="4" w:space="0"/>
            </w:tcBorders>
            <w:tcW w:w="5288" w:type="dxa"/>
            <w:vAlign w:val="center"/>
            <w:textDirection w:val="lrTb"/>
            <w:noWrap w:val="false"/>
          </w:tcPr>
          <w:p>
            <w:pPr>
              <w:ind w:firstLine="420"/>
              <w:jc w:val="left"/>
              <w:widowControl/>
              <w:rPr>
                <w:rFonts w:hint="eastAsia"/>
                <w:b/>
                <w:bCs/>
                <w:highlight w:val="yellow"/>
                <w:lang w:val="en-US" w:eastAsia="zh-CN"/>
              </w:rPr>
            </w:pPr>
            <w:r>
              <w:rPr>
                <w:rFonts w:hint="eastAsia" w:ascii="仿宋" w:hAnsi="仿宋" w:eastAsia="仿宋" w:cs="仿宋"/>
                <w:b/>
                <w:bCs/>
                <w:color w:val="auto"/>
                <w:sz w:val="21"/>
                <w:szCs w:val="21"/>
                <w:highlight w:val="yellow"/>
                <w:lang w:val="en-US" w:eastAsia="zh-CN" w:bidi="ar-SA"/>
              </w:rPr>
              <w:t xml:space="preserve">投标人承诺为本项目提供定期巡检、故障快速响应等增值服务，投标时提供加盖公章的增值服务承诺函得 5分，未提供不得分。</w:t>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四</w:t>
            </w:r>
            <w:r/>
          </w:p>
        </w:tc>
        <w:tc>
          <w:tcPr>
            <w:tcBorders>
              <w:left w:val="single" w:color="auto" w:sz="4" w:space="0"/>
              <w:right w:val="single" w:color="auto" w:sz="4" w:space="0"/>
            </w:tcBorders>
            <w:tcW w:w="1118" w:type="dxa"/>
            <w:vAlign w:val="center"/>
            <w:textDirection w:val="lrTb"/>
            <w:noWrap w:val="false"/>
          </w:tcPr>
          <w:p>
            <w:pPr>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sz w:val="21"/>
                <w:szCs w:val="24"/>
                <w:highlight w:val="none"/>
              </w:rPr>
            </w:pPr>
            <w:r/>
            <w:bookmarkStart w:id="201" w:name="OLE_LINK35"/>
            <w:r>
              <w:rPr>
                <w:rFonts w:hint="eastAsia" w:ascii="仿宋" w:hAnsi="仿宋" w:eastAsia="仿宋" w:cs="仿宋"/>
                <w:b w:val="0"/>
                <w:bCs w:val="0"/>
                <w:color w:val="auto"/>
                <w:highlight w:val="none"/>
                <w:lang w:val="en-US" w:eastAsia="zh-CN"/>
              </w:rPr>
              <w:t xml:space="preserve">业绩</w:t>
            </w:r>
            <w:bookmarkEnd w:id="201"/>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 xml:space="preserve">6</w:t>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none"/>
              </w:rPr>
            </w:pPr>
            <w:r/>
            <w:bookmarkStart w:id="202" w:name="OLE_LINK36"/>
            <w:r>
              <w:rPr>
                <w:rFonts w:hint="eastAsia" w:ascii="仿宋" w:hAnsi="仿宋" w:eastAsia="仿宋" w:cs="仿宋"/>
                <w:b w:val="0"/>
                <w:bCs w:val="0"/>
                <w:color w:val="auto"/>
                <w:sz w:val="21"/>
                <w:szCs w:val="21"/>
                <w:highlight w:val="none"/>
                <w:lang w:val="en-US" w:eastAsia="zh-CN"/>
              </w:rPr>
              <w:t xml:space="preserve">投标人自2022年1月1日以来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w:t>
            </w:r>
            <w:r>
              <w:rPr>
                <w:rFonts w:hint="eastAsia" w:ascii="仿宋" w:hAnsi="仿宋" w:eastAsia="仿宋" w:cs="仿宋"/>
                <w:b w:val="0"/>
                <w:bCs w:val="0"/>
                <w:color w:val="auto"/>
                <w:sz w:val="21"/>
                <w:szCs w:val="21"/>
                <w:highlight w:val="none"/>
                <w:lang w:val="en-US" w:eastAsia="zh-CN"/>
              </w:rPr>
              <w:t xml:space="preserve">一</w:t>
            </w:r>
            <w:r>
              <w:rPr>
                <w:rFonts w:hint="eastAsia" w:ascii="仿宋" w:hAnsi="仿宋" w:eastAsia="仿宋" w:cs="仿宋"/>
                <w:b w:val="0"/>
                <w:bCs w:val="0"/>
                <w:color w:val="auto"/>
                <w:sz w:val="21"/>
                <w:szCs w:val="21"/>
                <w:highlight w:val="none"/>
                <w:lang w:eastAsia="zh-CN"/>
              </w:rPr>
              <w:t xml:space="preserve">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3</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lang w:eastAsia="zh-CN"/>
              </w:rPr>
              <w:t xml:space="preserve">分。</w:t>
            </w:r>
            <w:r/>
          </w:p>
          <w:p>
            <w:pPr>
              <w:ind w:firstLine="420"/>
              <w:jc w:val="left"/>
              <w:keepLines w:val="0"/>
              <w:keepNext w:val="0"/>
              <w:pageBreakBefore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注：①本项需自行拟制业绩汇总表；</w:t>
            </w:r>
            <w:r/>
          </w:p>
          <w:p>
            <w:pPr>
              <w:ind w:firstLine="840"/>
              <w:jc w:val="left"/>
              <w:keepLines w:val="0"/>
              <w:keepNext w:val="0"/>
              <w:pageBreakBefore w:val="0"/>
              <w:rPr>
                <w:rFonts w:hint="eastAsia" w:ascii="仿宋" w:hAnsi="仿宋" w:eastAsia="仿宋" w:cs="仿宋"/>
                <w:color w:val="auto"/>
                <w:sz w:val="21"/>
                <w:szCs w:val="24"/>
                <w:highlight w:val="none"/>
              </w:rPr>
            </w:pPr>
            <w:r>
              <w:rPr>
                <w:rFonts w:hint="eastAsia" w:ascii="仿宋" w:hAnsi="仿宋" w:eastAsia="仿宋" w:cs="仿宋"/>
                <w:b w:val="0"/>
                <w:bCs w:val="0"/>
                <w:color w:val="auto"/>
                <w:sz w:val="21"/>
                <w:szCs w:val="21"/>
                <w:highlight w:val="none"/>
              </w:rPr>
              <w:t xml:space="preserve">②投标文件中须同时提供合同</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或</w:t>
            </w:r>
            <w:r>
              <w:rPr>
                <w:rFonts w:hint="eastAsia" w:ascii="仿宋" w:hAnsi="仿宋" w:eastAsia="仿宋" w:cs="仿宋"/>
                <w:b w:val="0"/>
                <w:bCs w:val="0"/>
                <w:color w:val="auto"/>
                <w:sz w:val="21"/>
                <w:szCs w:val="21"/>
                <w:highlight w:val="none"/>
              </w:rPr>
              <w:t xml:space="preserve">中标通知书</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bookmarkEnd w:id="202"/>
            <w:r/>
            <w:r/>
          </w:p>
        </w:tc>
      </w:tr>
      <w:tr>
        <w:trPr>
          <w:jc w:val="center"/>
          <w:trHeight w:val="564"/>
        </w:trPr>
        <w:tc>
          <w:tcPr>
            <w:tcBorders>
              <w:left w:val="single" w:color="auto" w:sz="4" w:space="0"/>
              <w:right w:val="single" w:color="auto" w:sz="4" w:space="0"/>
            </w:tcBorders>
            <w:tcW w:w="575" w:type="dxa"/>
            <w:vAlign w:val="center"/>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white"/>
                <w:lang w:val="en-US" w:eastAsia="zh-CN"/>
              </w:rPr>
              <w:t xml:space="preserve">五</w:t>
            </w:r>
            <w:r/>
          </w:p>
        </w:tc>
        <w:tc>
          <w:tcPr>
            <w:tcBorders>
              <w:left w:val="single" w:color="auto" w:sz="4" w:space="0"/>
              <w:right w:val="single" w:color="auto" w:sz="4" w:space="0"/>
            </w:tcBorders>
            <w:tcW w:w="1118" w:type="dxa"/>
            <w:vAlign w:val="center"/>
            <w:textDirection w:val="lrTb"/>
            <w:noWrap w:val="false"/>
          </w:tcPr>
          <w:p>
            <w:pPr>
              <w:jc w:val="center"/>
              <w:rPr>
                <w:rFonts w:hint="eastAsia" w:ascii="仿宋" w:hAnsi="仿宋" w:eastAsia="仿宋" w:cs="仿宋"/>
                <w:highlight w:val="none"/>
                <w:lang w:val="en-US" w:eastAsia="zh-CN"/>
              </w:rPr>
            </w:pPr>
            <w:r>
              <w:rPr>
                <w:rFonts w:hint="eastAsia" w:ascii="仿宋" w:hAnsi="仿宋" w:eastAsia="仿宋" w:cs="仿宋"/>
                <w:highlight w:val="whit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highlight w:val="white"/>
              </w:rPr>
              <w:t xml:space="preserve">节能环保</w:t>
            </w:r>
            <w:r/>
          </w:p>
        </w:tc>
        <w:tc>
          <w:tcPr>
            <w:tcBorders>
              <w:left w:val="single" w:color="auto" w:sz="4" w:space="0"/>
              <w:right w:val="single" w:color="auto" w:sz="4" w:space="0"/>
            </w:tcBorders>
            <w:tcW w:w="818" w:type="dxa"/>
            <w:vAlign w:val="center"/>
            <w:textDirection w:val="lrTb"/>
            <w:noWrap w:val="false"/>
          </w:tcPr>
          <w:p>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lang w:val="en-US" w:eastAsia="zh-CN"/>
              </w:rPr>
              <w:t xml:space="preserve">2</w:t>
            </w:r>
            <w:r/>
          </w:p>
        </w:tc>
        <w:tc>
          <w:tcPr>
            <w:tcBorders>
              <w:left w:val="single" w:color="auto" w:sz="4" w:space="0"/>
              <w:right w:val="single" w:color="auto" w:sz="4" w:space="0"/>
            </w:tcBorders>
            <w:tcW w:w="5288" w:type="dxa"/>
            <w:vAlign w:val="center"/>
            <w:textDirection w:val="lrTb"/>
            <w:noWrap w:val="false"/>
          </w:tcPr>
          <w:p>
            <w:pPr>
              <w:ind w:firstLine="420"/>
              <w:jc w:val="left"/>
              <w:keepLines w:val="0"/>
              <w:keepNext w:val="0"/>
              <w:pageBreakBefore w:val="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p>
          <w:p>
            <w:pPr>
              <w:ind w:firstLine="420"/>
              <w:jc w:val="left"/>
              <w:keepLines w:val="0"/>
              <w:keepNext w:val="0"/>
              <w:pageBreakBefore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whit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p>
        </w:tc>
      </w:tr>
    </w:tbl>
    <w:p>
      <w:pPr>
        <w:pStyle w:val="686"/>
        <w:jc w:val="both"/>
        <w:spacing w:beforeAutospacing="0" w:afterAutospacing="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r/>
    </w:p>
    <w:p>
      <w:pPr>
        <w:pStyle w:val="68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8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68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6"/>
        <w:jc w:val="center"/>
        <w:spacing w:beforeAutospacing="0" w:afterAutospacing="0"/>
        <w:rPr>
          <w:highlight w:val="none"/>
        </w:rPr>
      </w:pPr>
      <w:r/>
      <w:bookmarkStart w:id="203" w:name="_Hlt26955039"/>
      <w:r/>
      <w:bookmarkEnd w:id="203"/>
      <w:r/>
      <w:bookmarkStart w:id="204" w:name="_Hlt26671244"/>
      <w:r/>
      <w:bookmarkEnd w:id="204"/>
      <w:r/>
      <w:bookmarkStart w:id="205" w:name="_Toc26554094"/>
      <w:r/>
      <w:bookmarkEnd w:id="205"/>
      <w:r/>
      <w:bookmarkStart w:id="206" w:name="_Toc120614282"/>
      <w:r/>
      <w:bookmarkStart w:id="207" w:name="_Toc49090576"/>
      <w:r>
        <w:rPr>
          <w:rFonts w:hint="eastAsia" w:ascii="宋体" w:hAnsi="宋体" w:eastAsia="宋体" w:cs="宋体"/>
          <w:b/>
          <w:color w:val="000000"/>
          <w:sz w:val="72"/>
          <w:szCs w:val="72"/>
          <w:highlight w:val="none"/>
        </w:rPr>
        <w:t xml:space="preserve">投  标  文  件</w:t>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highlight w:val="none"/>
        </w:rPr>
      </w:pPr>
      <w:r>
        <w:rPr>
          <w:highlight w:val="none"/>
        </w:rPr>
        <w:t xml:space="preserve"> </w:t>
      </w:r>
      <w:r/>
    </w:p>
    <w:p>
      <w:pPr>
        <w:pStyle w:val="68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8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686"/>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86"/>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p>
    <w:p>
      <w:pPr>
        <w:pStyle w:val="68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p>
    <w:p>
      <w:pPr>
        <w:pStyle w:val="68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p>
    <w:p>
      <w:pPr>
        <w:pStyle w:val="686"/>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p>
    <w:p>
      <w:pPr>
        <w:pStyle w:val="68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86"/>
        <w:jc w:val="center"/>
        <w:spacing w:beforeAutospacing="0" w:afterAutospacing="0" w:line="0" w:lineRule="atLeast"/>
        <w:rPr>
          <w:highlight w:val="none"/>
        </w:rPr>
      </w:pPr>
      <w:r>
        <w:rPr>
          <w:highlight w:val="none"/>
        </w:rPr>
        <w:t xml:space="preserve"> </w:t>
      </w:r>
      <w:r/>
    </w:p>
    <w:p>
      <w:pPr>
        <w:pStyle w:val="6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p>
    <w:p>
      <w:pPr>
        <w:pStyle w:val="68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8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8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七、法定代表人身份证明书及法人授权书</w:t>
      </w:r>
      <w:r/>
    </w:p>
    <w:p>
      <w:pPr>
        <w:pStyle w:val="6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86"/>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auto"/>
          <w:highlight w:val="none"/>
          <w:u w:val="none"/>
        </w:rPr>
        <w:t xml:space="preserve">残疾人福利性单位声明函</w:t>
      </w:r>
      <w:r/>
    </w:p>
    <w:p>
      <w:pPr>
        <w:pStyle w:val="686"/>
        <w:ind w:firstLine="480"/>
        <w:jc w:val="both"/>
        <w:spacing w:beforeAutospacing="0" w:afterAutospacing="0" w:line="0" w:lineRule="atLeas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686"/>
        <w:ind w:firstLine="480"/>
        <w:jc w:val="both"/>
        <w:spacing w:beforeAutospacing="0" w:afterAutospacing="0" w:line="0" w:lineRule="atLeas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686"/>
        <w:ind w:firstLine="480"/>
        <w:jc w:val="both"/>
        <w:spacing w:beforeAutospacing="0" w:afterAutospacing="0" w:line="0" w:lineRule="atLeas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十三、投标报价表</w:t>
      </w:r>
      <w:r/>
    </w:p>
    <w:p>
      <w:pPr>
        <w:pStyle w:val="686"/>
        <w:ind w:firstLine="480"/>
        <w:jc w:val="both"/>
        <w:spacing w:beforeAutospacing="0" w:afterAutospacing="0" w:line="0" w:lineRule="atLeas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十四、技术要求响应及偏离表</w:t>
      </w:r>
      <w:r/>
    </w:p>
    <w:p>
      <w:pPr>
        <w:pStyle w:val="68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十五、商务要求响应及偏离表</w:t>
      </w:r>
      <w:r/>
    </w:p>
    <w:p>
      <w:pPr>
        <w:pStyle w:val="68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十六、开标一览表</w:t>
      </w:r>
      <w:r/>
    </w:p>
    <w:p>
      <w:pPr>
        <w:pStyle w:val="68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十七、技术方案、服务承诺、培训承诺等</w:t>
      </w:r>
      <w:r/>
    </w:p>
    <w:p>
      <w:pPr>
        <w:pStyle w:val="686"/>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十八、盐城市政府采购事前信用承诺书</w:t>
      </w:r>
      <w:r/>
    </w:p>
    <w:p>
      <w:pPr>
        <w:pStyle w:val="686"/>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6"/>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6"/>
        <w:ind w:firstLine="480"/>
        <w:jc w:val="both"/>
        <w:spacing w:beforeAutospacing="0" w:afterAutospacing="0" w:line="0" w:lineRule="atLeast"/>
        <w:rPr>
          <w:highlight w:val="none"/>
        </w:rPr>
      </w:pPr>
      <w:r>
        <w:rPr>
          <w:highlight w:val="none"/>
        </w:rPr>
        <w:t xml:space="preserve"> </w:t>
      </w:r>
      <w:r/>
    </w:p>
    <w:p>
      <w:pPr>
        <w:pStyle w:val="686"/>
        <w:ind w:firstLine="480"/>
        <w:jc w:val="both"/>
        <w:spacing w:beforeAutospacing="0" w:afterAutospacing="0" w:line="0" w:lineRule="atLeast"/>
        <w:rPr>
          <w:highlight w:val="none"/>
        </w:rPr>
      </w:pPr>
      <w:r>
        <w:rPr>
          <w:highlight w:val="none"/>
        </w:rPr>
        <w:t xml:space="preserve"> </w:t>
      </w:r>
      <w:r/>
    </w:p>
    <w:p>
      <w:pPr>
        <w:pStyle w:val="686"/>
        <w:ind w:firstLine="480"/>
        <w:jc w:val="both"/>
        <w:spacing w:beforeAutospacing="0" w:afterAutospacing="0" w:line="0" w:lineRule="atLeast"/>
        <w:rPr>
          <w:highlight w:val="none"/>
        </w:rPr>
      </w:pPr>
      <w:r>
        <w:rPr>
          <w:highlight w:val="none"/>
        </w:rPr>
        <w:t xml:space="preserve"> </w:t>
      </w:r>
      <w:r/>
    </w:p>
    <w:p>
      <w:pPr>
        <w:pStyle w:val="686"/>
        <w:ind w:firstLine="480"/>
        <w:jc w:val="both"/>
        <w:spacing w:beforeAutospacing="0" w:afterAutospacing="0" w:line="0" w:lineRule="atLeast"/>
        <w:rPr>
          <w:highlight w:val="none"/>
        </w:rPr>
      </w:pPr>
      <w:r>
        <w:rPr>
          <w:highlight w:val="none"/>
        </w:rPr>
        <w:t xml:space="preserve"> </w:t>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ind w:firstLine="480"/>
        <w:jc w:val="both"/>
        <w:spacing w:beforeAutospacing="0" w:afterAutospacing="0" w:line="0" w:lineRule="atLeast"/>
        <w:rPr>
          <w:highlight w:val="none"/>
        </w:rPr>
      </w:pPr>
      <w:r>
        <w:rPr>
          <w:highlight w:val="none"/>
        </w:rPr>
      </w:r>
      <w:r/>
    </w:p>
    <w:p>
      <w:pPr>
        <w:pStyle w:val="686"/>
        <w:jc w:val="both"/>
        <w:spacing w:beforeAutospacing="0" w:afterAutospacing="0"/>
        <w:rPr>
          <w:i w:val="0"/>
          <w:iCs/>
          <w:highlight w:val="none"/>
        </w:rPr>
      </w:pPr>
      <w:r>
        <w:rPr>
          <w:rFonts w:hint="eastAsia" w:ascii="黑体" w:hAnsi="宋体" w:eastAsia="黑体" w:cs="黑体"/>
          <w:i w:val="0"/>
          <w:iCs/>
          <w:color w:val="000000"/>
          <w:sz w:val="32"/>
          <w:szCs w:val="32"/>
          <w:highlight w:val="none"/>
          <w:u w:val="single"/>
        </w:rPr>
        <w:t xml:space="preserve">一、法人或者其他组织的营业执照等证明文件，自然人的身份证明</w:t>
      </w:r>
      <w:r/>
    </w:p>
    <w:p>
      <w:pPr>
        <w:pStyle w:val="686"/>
        <w:ind w:firstLine="480"/>
        <w:jc w:val="both"/>
        <w:spacing w:beforeAutospacing="0" w:afterAutospacing="0" w:line="0" w:lineRule="atLeast"/>
        <w:rPr>
          <w:highlight w:val="none"/>
        </w:rPr>
      </w:pPr>
      <w:r>
        <w:rPr>
          <w:highlight w:val="none"/>
        </w:rPr>
        <w:t xml:space="preserve"> </w:t>
      </w:r>
      <w:r/>
    </w:p>
    <w:p>
      <w:pPr>
        <w:pStyle w:val="686"/>
        <w:jc w:val="both"/>
        <w:spacing w:beforeAutospacing="0" w:afterAutospacing="0"/>
        <w:rPr>
          <w:rFonts w:hint="eastAsia" w:eastAsia="黑体"/>
          <w:i w:val="0"/>
          <w:iCs/>
          <w:highlight w:val="none"/>
          <w:lang w:val="en-US" w:eastAsia="zh-CN"/>
        </w:rPr>
      </w:pPr>
      <w:r>
        <w:rPr>
          <w:rFonts w:hint="eastAsia" w:ascii="黑体" w:hAnsi="宋体" w:eastAsia="黑体" w:cs="黑体"/>
          <w:i w:val="0"/>
          <w:iCs/>
          <w:color w:val="000000"/>
          <w:sz w:val="32"/>
          <w:szCs w:val="32"/>
          <w:highlight w:val="none"/>
          <w:u w:val="single"/>
        </w:rPr>
        <w:t xml:space="preserve">二、上一年度的财务状况报</w:t>
      </w:r>
      <w:r>
        <w:rPr>
          <w:rFonts w:hint="eastAsia" w:ascii="黑体" w:hAnsi="宋体" w:eastAsia="黑体" w:cs="黑体"/>
          <w:i w:val="0"/>
          <w:iCs/>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6"/>
        <w:ind w:firstLine="480"/>
        <w:jc w:val="both"/>
        <w:spacing w:beforeAutospacing="0" w:afterAutospacing="0" w:line="0" w:lineRule="atLeast"/>
        <w:rPr>
          <w:highlight w:val="none"/>
        </w:rPr>
      </w:pPr>
      <w:r>
        <w:rPr>
          <w:highlight w:val="none"/>
        </w:rPr>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w:t>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8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r/>
    </w:p>
    <w:p>
      <w:pPr>
        <w:pStyle w:val="68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6"/>
        <w:ind w:firstLine="480"/>
        <w:jc w:val="both"/>
        <w:spacing w:beforeAutospacing="0" w:afterAutospacing="0"/>
        <w:rPr>
          <w:highlight w:val="none"/>
        </w:rPr>
      </w:pPr>
      <w:r/>
      <w:bookmarkStart w:id="20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8"/>
      <w:r/>
      <w:r/>
    </w:p>
    <w:p>
      <w:pPr>
        <w:pStyle w:val="68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6"/>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86"/>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6"/>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w:t>
      </w:r>
      <w:r/>
    </w:p>
    <w:p>
      <w:pPr>
        <w:pStyle w:val="68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68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86"/>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pStyle w:val="68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r>
      <w:r/>
    </w:p>
    <w:p>
      <w:pPr>
        <w:pStyle w:val="68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 xml:space="preserve">六、特定资格要求的证明文件</w:t>
      </w:r>
      <w:r/>
    </w:p>
    <w:p>
      <w:pPr>
        <w:pStyle w:val="686"/>
        <w:jc w:val="both"/>
        <w:spacing w:beforeAutospacing="0" w:afterAutospacing="0" w:line="0" w:lineRule="atLeast"/>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 xml:space="preserve">如果本项目申请人的特定资格要求中要求提供的，必须提供。</w:t>
      </w:r>
      <w:r/>
    </w:p>
    <w:p>
      <w:pPr>
        <w:pStyle w:val="686"/>
        <w:jc w:val="both"/>
        <w:spacing w:beforeAutospacing="0" w:afterAutospacing="0" w:line="0" w:lineRule="atLeast"/>
        <w:rPr>
          <w:rFonts w:hint="eastAsia" w:ascii="黑体" w:hAnsi="宋体" w:eastAsia="黑体" w:cs="黑体"/>
          <w:i w:val="0"/>
          <w:iCs/>
          <w:color w:val="000000"/>
          <w:sz w:val="32"/>
          <w:szCs w:val="32"/>
          <w:highlight w:val="none"/>
          <w:u w:val="single"/>
          <w:lang w:val="en-US" w:eastAsia="zh-CN"/>
        </w:rPr>
      </w:pPr>
      <w:r>
        <w:rPr>
          <w:rFonts w:hint="eastAsia" w:ascii="黑体" w:hAnsi="宋体" w:eastAsia="黑体" w:cs="黑体"/>
          <w:i w:val="0"/>
          <w:iCs/>
          <w:color w:val="000000"/>
          <w:sz w:val="32"/>
          <w:szCs w:val="32"/>
          <w:highlight w:val="none"/>
          <w:u w:val="single"/>
          <w:lang w:val="en-US" w:eastAsia="zh-CN"/>
        </w:rPr>
        <w:t xml:space="preserve">1.投标人如委托被授权人参与，则被授权人须为本单位正式职工并提供供应商为被授权人缴纳的社会养老保险证明。</w:t>
      </w:r>
      <w:r/>
    </w:p>
    <w:p>
      <w:pPr>
        <w:pStyle w:val="68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jc w:val="center"/>
        <w:spacing w:line="600" w:lineRule="exact"/>
        <w:rPr>
          <w:rFonts w:hint="eastAsia" w:ascii="宋体" w:hAnsi="宋体" w:eastAsia="宋体" w:cs="宋体"/>
          <w:b/>
          <w:bCs/>
          <w:color w:val="auto"/>
          <w:sz w:val="32"/>
          <w:szCs w:val="32"/>
          <w:highlight w:val="none"/>
        </w:rPr>
        <w:outlineLvl w:val="1"/>
      </w:pPr>
      <w:r/>
      <w:bookmarkStart w:id="209" w:name="_Hlt26671380"/>
      <w:r/>
      <w:bookmarkStart w:id="210" w:name="_格式3__银行出具的资信证明"/>
      <w:r/>
      <w:bookmarkStart w:id="211" w:name="_Hlt26955070"/>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七、法定代表人身份证明书及法人授权书</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9"/>
        <w:rPr>
          <w:sz w:val="36"/>
          <w:szCs w:val="44"/>
        </w:rPr>
      </w:pPr>
      <w:r>
        <w:rPr>
          <w:rFonts w:hint="eastAsia" w:ascii="宋体" w:hAnsi="宋体" w:eastAsia="宋体" w:cs="宋体"/>
          <w:color w:val="auto"/>
          <w:sz w:val="24"/>
          <w:highlight w:val="none"/>
        </w:rPr>
        <w:br w:type="page" w:clear="all"/>
      </w:r>
      <w:bookmarkStart w:id="212" w:name="_Toc174368681"/>
      <w:r>
        <w:rPr>
          <w:rFonts w:hint="eastAsia"/>
          <w:sz w:val="36"/>
          <w:szCs w:val="44"/>
        </w:rPr>
        <w:t xml:space="preserve">法人授权书</w:t>
      </w:r>
      <w:bookmarkEnd w:id="212"/>
      <w:r/>
      <w:r/>
    </w:p>
    <w:p>
      <w:pPr>
        <w:ind w:firstLine="560"/>
        <w:rPr>
          <w:sz w:val="28"/>
          <w:szCs w:val="36"/>
        </w:rPr>
      </w:pPr>
      <w:r>
        <w:rPr>
          <w:rFonts w:ascii="Times New Roman" w:hAnsi="Times New Roman"/>
          <w:color w:val="000000"/>
          <w:sz w:val="28"/>
          <w:szCs w:val="36"/>
        </w:rPr>
        <w:t xml:space="preserve">本授权书声明：____________（投标人名称）授权________________（被授权人的姓名）为我方就JSZC-</w:t>
      </w:r>
      <w:r>
        <w:rPr>
          <w:rFonts w:ascii="Times New Roman" w:hAnsi="Times New Roman"/>
          <w:color w:val="000000"/>
          <w:sz w:val="28"/>
          <w:szCs w:val="36"/>
          <w:u w:val="single"/>
        </w:rPr>
        <w:t xml:space="preserve">            </w:t>
      </w:r>
      <w:r>
        <w:rPr>
          <w:rFonts w:ascii="Times New Roman" w:hAnsi="Times New Roman"/>
          <w:color w:val="000000"/>
          <w:sz w:val="28"/>
          <w:szCs w:val="36"/>
        </w:rPr>
        <w:t xml:space="preserve">号项目采购活动的合法代理人，以本单位名义全权处理一切与该项目采购有关的事务。</w:t>
      </w:r>
      <w:r/>
    </w:p>
    <w:p>
      <w:pPr>
        <w:ind w:firstLine="560"/>
        <w:rPr>
          <w:sz w:val="28"/>
          <w:szCs w:val="36"/>
        </w:rPr>
      </w:pPr>
      <w:r>
        <w:rPr>
          <w:rFonts w:ascii="Times New Roman" w:hAnsi="Times New Roman"/>
          <w:color w:val="000000"/>
          <w:sz w:val="28"/>
          <w:szCs w:val="36"/>
        </w:rPr>
        <w:t xml:space="preserve">本授权书于______年____月____日起生效，特此声明。</w:t>
      </w:r>
      <w:r/>
    </w:p>
    <w:p>
      <w:pPr>
        <w:ind w:firstLine="560"/>
        <w:rPr>
          <w:sz w:val="28"/>
          <w:szCs w:val="36"/>
        </w:rPr>
      </w:pPr>
      <w:r>
        <w:rPr>
          <w:rFonts w:ascii="Times New Roman" w:hAnsi="Times New Roman"/>
          <w:color w:val="000000"/>
          <w:sz w:val="28"/>
          <w:szCs w:val="36"/>
        </w:rPr>
        <w:t xml:space="preserve">          被授权人身份证号码：</w:t>
      </w:r>
      <w:r>
        <w:rPr>
          <w:rFonts w:ascii="Times New Roman" w:hAnsi="Times New Roman"/>
          <w:color w:val="000000"/>
          <w:sz w:val="28"/>
          <w:szCs w:val="36"/>
          <w:u w:val="single"/>
        </w:rPr>
        <w:t xml:space="preserve">                              </w:t>
      </w:r>
      <w:r/>
    </w:p>
    <w:p>
      <w:pPr>
        <w:ind w:firstLine="560"/>
        <w:rPr>
          <w:sz w:val="28"/>
          <w:szCs w:val="36"/>
        </w:rPr>
      </w:pPr>
      <w:r>
        <w:rPr>
          <w:rFonts w:ascii="Times New Roman" w:hAnsi="Times New Roman"/>
          <w:color w:val="000000"/>
          <w:sz w:val="28"/>
          <w:szCs w:val="36"/>
        </w:rPr>
        <w:t xml:space="preserve">          被授权人联系电话：（手机）</w:t>
      </w:r>
      <w:r>
        <w:rPr>
          <w:rFonts w:ascii="Times New Roman" w:hAnsi="Times New Roman"/>
          <w:color w:val="000000"/>
          <w:sz w:val="28"/>
          <w:szCs w:val="36"/>
          <w:u w:val="single"/>
        </w:rPr>
        <w:t xml:space="preserve">                          </w:t>
      </w:r>
      <w:r/>
    </w:p>
    <w:p>
      <w:pPr>
        <w:ind w:firstLine="1386"/>
        <w:rPr>
          <w:rFonts w:ascii="Times New Roman" w:hAnsi="Times New Roman"/>
          <w:color w:val="000000"/>
          <w:sz w:val="28"/>
          <w:szCs w:val="36"/>
          <w:u w:val="single"/>
        </w:rPr>
      </w:pPr>
      <w:r>
        <w:rPr>
          <w:rFonts w:hint="eastAsia" w:ascii="Times New Roman" w:hAnsi="Times New Roman"/>
          <w:color w:val="000000"/>
          <w:sz w:val="28"/>
          <w:szCs w:val="36"/>
        </w:rPr>
        <w:t xml:space="preserve">法定代表人或被授权人（签字或盖章）：</w:t>
      </w:r>
      <w:r>
        <w:rPr>
          <w:rFonts w:hint="eastAsia" w:ascii="Times New Roman" w:hAnsi="Times New Roman"/>
          <w:color w:val="000000"/>
          <w:sz w:val="28"/>
          <w:szCs w:val="36"/>
          <w:u w:val="single"/>
        </w:rPr>
        <w:t xml:space="preserve"> </w:t>
      </w:r>
      <w:r>
        <w:rPr>
          <w:rFonts w:ascii="Times New Roman" w:hAnsi="Times New Roman"/>
          <w:color w:val="000000"/>
          <w:sz w:val="28"/>
          <w:szCs w:val="36"/>
          <w:u w:val="single"/>
        </w:rPr>
        <w:t xml:space="preserve">                </w:t>
      </w:r>
      <w:r/>
    </w:p>
    <w:p>
      <w:pPr>
        <w:ind w:firstLine="1386"/>
        <w:rPr>
          <w:sz w:val="28"/>
          <w:szCs w:val="36"/>
        </w:rPr>
      </w:pPr>
      <w:r>
        <w:rPr>
          <w:rFonts w:ascii="Times New Roman" w:hAnsi="Times New Roman"/>
          <w:color w:val="000000"/>
          <w:sz w:val="28"/>
          <w:szCs w:val="36"/>
        </w:rPr>
        <w:t xml:space="preserve">授权单位名称：</w:t>
      </w:r>
      <w:r>
        <w:rPr>
          <w:rFonts w:ascii="Times New Roman" w:hAnsi="Times New Roman"/>
          <w:color w:val="000000"/>
          <w:sz w:val="28"/>
          <w:szCs w:val="36"/>
          <w:u w:val="single"/>
        </w:rPr>
        <w:t xml:space="preserve">（加盖CA电子公章）</w:t>
      </w:r>
      <w:r/>
    </w:p>
    <w:p>
      <w:pPr>
        <w:ind w:firstLine="1386"/>
        <w:rPr>
          <w:sz w:val="28"/>
          <w:szCs w:val="36"/>
        </w:rPr>
      </w:pPr>
      <w:r>
        <w:rPr>
          <w:rFonts w:ascii="Times New Roman" w:hAnsi="Times New Roman"/>
          <w:color w:val="000000"/>
          <w:sz w:val="28"/>
          <w:szCs w:val="36"/>
        </w:rPr>
        <w:t xml:space="preserve">单位地址：</w:t>
      </w:r>
      <w:r>
        <w:rPr>
          <w:rFonts w:ascii="Times New Roman" w:hAnsi="Times New Roman"/>
          <w:color w:val="000000"/>
          <w:sz w:val="28"/>
          <w:szCs w:val="36"/>
          <w:u w:val="single"/>
        </w:rPr>
        <w:t xml:space="preserve">                                         </w:t>
      </w:r>
      <w:r/>
    </w:p>
    <w:p>
      <w:pPr>
        <w:ind w:firstLine="1386"/>
        <w:rPr>
          <w:sz w:val="28"/>
          <w:szCs w:val="36"/>
        </w:rPr>
      </w:pPr>
      <w:r>
        <w:rPr>
          <w:rFonts w:ascii="Times New Roman" w:hAnsi="Times New Roman"/>
          <w:color w:val="000000"/>
          <w:sz w:val="28"/>
          <w:szCs w:val="36"/>
        </w:rPr>
        <w:t xml:space="preserve">日期：</w:t>
      </w:r>
      <w:r>
        <w:rPr>
          <w:rFonts w:ascii="Times New Roman" w:hAnsi="Times New Roman"/>
          <w:color w:val="000000"/>
          <w:sz w:val="28"/>
          <w:szCs w:val="36"/>
          <w:u w:val="single"/>
        </w:rPr>
        <w:t xml:space="preserve">                                         </w:t>
      </w:r>
      <w:r/>
    </w:p>
    <w:p>
      <w:pPr>
        <w:ind w:firstLine="560"/>
        <w:rPr>
          <w:sz w:val="28"/>
          <w:szCs w:val="36"/>
        </w:rPr>
      </w:pPr>
      <w:r>
        <w:rPr>
          <w:rFonts w:hint="eastAsia"/>
          <w:sz w:val="28"/>
          <w:szCs w:val="36"/>
        </w:rPr>
        <w:t xml:space="preserve">（附：被授权人身份证正反面复印件）</w:t>
      </w:r>
      <w:r/>
    </w:p>
    <w:p>
      <w:pPr>
        <w:ind w:firstLine="560"/>
        <w:rPr>
          <w:sz w:val="28"/>
          <w:szCs w:val="36"/>
        </w:rPr>
      </w:pPr>
      <w:r>
        <w:rPr>
          <w:sz w:val="28"/>
          <w:szCs w:val="36"/>
        </w:rPr>
      </w:r>
      <w:r/>
    </w:p>
    <w:p>
      <w:pPr>
        <w:ind w:firstLine="560"/>
        <w:rPr>
          <w:sz w:val="28"/>
          <w:szCs w:val="36"/>
        </w:rPr>
      </w:pPr>
      <w:r>
        <w:rPr>
          <w:sz w:val="28"/>
          <w:szCs w:val="36"/>
        </w:rPr>
      </w:r>
      <w:r/>
    </w:p>
    <w:p>
      <w:pPr>
        <w:ind w:firstLine="560"/>
        <w:rPr>
          <w:sz w:val="28"/>
          <w:szCs w:val="36"/>
        </w:rPr>
      </w:pPr>
      <w:r>
        <w:rPr>
          <w:rFonts w:hint="eastAsia"/>
          <w:sz w:val="28"/>
          <w:szCs w:val="36"/>
        </w:rPr>
        <w:t xml:space="preserve">注：1、授权人须为本单位正式职工并提供投标人为被授权人缴纳的社会养老保险证明。</w:t>
      </w:r>
      <w:r/>
    </w:p>
    <w:p>
      <w:pPr>
        <w:ind w:firstLine="1134"/>
        <w:rPr>
          <w:sz w:val="28"/>
          <w:szCs w:val="36"/>
        </w:rPr>
      </w:pPr>
      <w:r>
        <w:rPr>
          <w:sz w:val="28"/>
          <w:szCs w:val="36"/>
        </w:rPr>
        <w:t xml:space="preserve">2、</w:t>
      </w:r>
      <w:r>
        <w:rPr>
          <w:rFonts w:hint="eastAsia"/>
          <w:sz w:val="28"/>
          <w:szCs w:val="36"/>
        </w:rPr>
        <w:t xml:space="preserve">法定</w:t>
      </w:r>
      <w:r>
        <w:rPr>
          <w:sz w:val="28"/>
          <w:szCs w:val="36"/>
        </w:rPr>
        <w:t xml:space="preserve">表人亲自参加时无需提供授权书及保险证明</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rPr>
      </w:pPr>
      <w:r>
        <w:rPr>
          <w:rFonts w:hint="eastAsia"/>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八、投标函</w:t>
      </w:r>
      <w:r/>
    </w:p>
    <w:p>
      <w:pPr>
        <w:pStyle w:val="686"/>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color w:val="000000"/>
          <w:highlight w:val="none"/>
          <w:lang w:val="en-US" w:eastAsia="zh-CN"/>
        </w:rPr>
        <w:t xml:space="preserve">***</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highlight w:val="none"/>
          <w:lang w:val="en-US" w:eastAsia="zh-CN"/>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6"/>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86"/>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8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期：____年____月____日</w:t>
      </w:r>
      <w:r/>
    </w:p>
    <w:p>
      <w:pPr>
        <w:pStyle w:val="686"/>
        <w:ind w:firstLine="240"/>
        <w:jc w:val="center"/>
        <w:spacing w:beforeAutospacing="0" w:afterAutospacing="0" w:line="0" w:lineRule="atLeast"/>
        <w:rPr>
          <w:highlight w:val="none"/>
        </w:rPr>
      </w:pPr>
      <w:r>
        <w:rPr>
          <w:highlight w:val="none"/>
        </w:rPr>
        <w:t xml:space="preserve"> </w:t>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rFonts w:hint="eastAsia"/>
          <w:highlight w:val="none"/>
        </w:rPr>
      </w:pPr>
      <w:r>
        <w:rPr>
          <w:highlight w:val="none"/>
        </w:rPr>
        <w:t xml:space="preserve"> </w:t>
      </w:r>
      <w:r>
        <w:rPr>
          <w:rFonts w:hint="eastAsia"/>
          <w:highlight w:val="none"/>
        </w:rPr>
        <w:t xml:space="preserve">法定代表人或被授权人（签字或盖章）：</w:t>
      </w:r>
      <w:r/>
    </w:p>
    <w:p>
      <w:pPr>
        <w:pStyle w:val="686"/>
        <w:ind w:firstLine="240"/>
        <w:jc w:val="center"/>
        <w:spacing w:beforeAutospacing="0" w:afterAutospacing="0" w:line="0" w:lineRule="atLeast"/>
        <w:rPr>
          <w:rFonts w:hint="eastAsia"/>
          <w:highlight w:val="none"/>
        </w:rPr>
      </w:pPr>
      <w:r>
        <w:rPr>
          <w:rFonts w:hint="eastAsia"/>
          <w:highlight w:val="none"/>
        </w:rPr>
      </w:r>
      <w:r/>
    </w:p>
    <w:p>
      <w:pPr>
        <w:pStyle w:val="686"/>
        <w:ind w:firstLine="240"/>
        <w:jc w:val="center"/>
        <w:spacing w:beforeAutospacing="0" w:afterAutospacing="0" w:line="0" w:lineRule="atLeast"/>
        <w:rPr>
          <w:rFonts w:hint="eastAsia"/>
          <w:highlight w:val="none"/>
        </w:rPr>
      </w:pPr>
      <w:r>
        <w:rPr>
          <w:rFonts w:hint="eastAsia"/>
          <w:highlight w:val="none"/>
        </w:rPr>
        <w:t xml:space="preserve">企业名称（加盖CA电子公章）：</w:t>
      </w:r>
      <w:r/>
    </w:p>
    <w:p>
      <w:pPr>
        <w:pStyle w:val="686"/>
        <w:ind w:firstLine="240"/>
        <w:jc w:val="center"/>
        <w:spacing w:beforeAutospacing="0" w:afterAutospacing="0" w:line="0" w:lineRule="atLeast"/>
        <w:rPr>
          <w:rFonts w:hint="eastAsia"/>
          <w:highlight w:val="none"/>
        </w:rPr>
      </w:pPr>
      <w:r>
        <w:rPr>
          <w:rFonts w:hint="eastAsia"/>
          <w:highlight w:val="none"/>
        </w:rPr>
        <w:t xml:space="preserve"> </w:t>
      </w:r>
      <w:r/>
    </w:p>
    <w:p>
      <w:pPr>
        <w:pStyle w:val="686"/>
        <w:ind w:firstLine="240"/>
        <w:jc w:val="center"/>
        <w:spacing w:beforeAutospacing="0" w:afterAutospacing="0" w:line="0" w:lineRule="atLeast"/>
        <w:rPr>
          <w:highlight w:val="none"/>
        </w:rPr>
      </w:pPr>
      <w:r>
        <w:rPr>
          <w:rFonts w:hint="eastAsia"/>
          <w:highlight w:val="none"/>
        </w:rPr>
        <w:t xml:space="preserve">         年    月    日</w:t>
      </w:r>
      <w:r/>
    </w:p>
    <w:p>
      <w:pPr>
        <w:pStyle w:val="686"/>
        <w:ind w:firstLine="240"/>
        <w:jc w:val="center"/>
        <w:spacing w:beforeAutospacing="0" w:afterAutospacing="0" w:line="0" w:lineRule="atLeast"/>
        <w:rPr>
          <w:highlight w:val="none"/>
        </w:rPr>
      </w:pPr>
      <w:r>
        <w:rPr>
          <w:highlight w:val="none"/>
        </w:rPr>
        <w:t xml:space="preserve"> </w:t>
      </w:r>
      <w:r/>
    </w:p>
    <w:p>
      <w:pPr>
        <w:pStyle w:val="686"/>
        <w:ind w:firstLine="240"/>
        <w:jc w:val="center"/>
        <w:spacing w:beforeAutospacing="0" w:afterAutospacing="0" w:line="0" w:lineRule="atLeast"/>
        <w:rPr>
          <w:highlight w:val="none"/>
        </w:rPr>
      </w:pPr>
      <w:r>
        <w:rPr>
          <w:highlight w:val="none"/>
        </w:rPr>
        <w:t xml:space="preserve"> </w:t>
      </w:r>
      <w:r/>
    </w:p>
    <w:p>
      <w:pPr>
        <w:pStyle w:val="686"/>
        <w:ind w:firstLine="240"/>
        <w:jc w:val="center"/>
        <w:spacing w:beforeAutospacing="0" w:afterAutospacing="0" w:line="0" w:lineRule="atLeast"/>
        <w:rPr>
          <w:highlight w:val="none"/>
        </w:rPr>
      </w:pPr>
      <w:r>
        <w:rPr>
          <w:highlight w:val="none"/>
        </w:rPr>
        <w:t xml:space="preserve"> </w:t>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ind w:firstLine="240"/>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w:t>
      </w:r>
      <w:r>
        <w:rPr>
          <w:rFonts w:hint="eastAsia"/>
          <w:color w:val="auto"/>
          <w:sz w:val="24"/>
          <w:highlight w:val="none"/>
          <w:u w:val="single"/>
          <w:lang w:val="en-US" w:eastAsia="zh-CN"/>
        </w:rPr>
        <w:t xml:space="preserve">采购</w:t>
      </w:r>
      <w:r>
        <w:rPr>
          <w:rFonts w:hint="eastAsia"/>
          <w:color w:val="auto"/>
          <w:sz w:val="24"/>
          <w:highlight w:val="none"/>
          <w:u w:val="single"/>
        </w:rPr>
        <w:t xml:space="preserve">单位名称</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w:t>
      </w:r>
      <w:r>
        <w:rPr>
          <w:rFonts w:hint="eastAsia"/>
          <w:color w:val="auto"/>
          <w:sz w:val="24"/>
          <w:highlight w:val="none"/>
          <w:lang w:val="en-US" w:eastAsia="zh-CN"/>
        </w:rPr>
        <w:t xml:space="preserve">提供的货物全部由符合政策要求的中小企业制造。</w:t>
      </w:r>
      <w:r>
        <w:rPr>
          <w:rFonts w:hint="eastAsia"/>
          <w:color w:val="auto"/>
          <w:sz w:val="24"/>
          <w:highlight w:val="none"/>
        </w:rPr>
        <w:t xml:space="preserve">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；制造商为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86"/>
        <w:ind w:right="720"/>
        <w:jc w:val="both"/>
        <w:spacing w:beforeAutospacing="0" w:afterAutospacing="0" w:line="0" w:lineRule="atLeast"/>
        <w:rPr>
          <w:color w:val="auto"/>
          <w:highlight w:val="none"/>
        </w:rPr>
      </w:pPr>
      <w:r>
        <w:rPr>
          <w:color w:val="auto"/>
          <w:highlight w:val="none"/>
        </w:rPr>
        <w:t xml:space="preserve"> </w:t>
      </w:r>
      <w:r/>
    </w:p>
    <w:p>
      <w:pPr>
        <w:pStyle w:val="68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8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86"/>
        <w:ind w:firstLine="240"/>
        <w:jc w:val="both"/>
        <w:spacing w:beforeAutospacing="0" w:afterAutospacing="0" w:line="0" w:lineRule="atLeast"/>
        <w:rPr>
          <w:color w:val="auto"/>
          <w:highlight w:val="none"/>
        </w:rPr>
      </w:pPr>
      <w:r>
        <w:rPr>
          <w:color w:val="auto"/>
          <w:highlight w:val="none"/>
        </w:rPr>
        <w:t xml:space="preserve"> </w:t>
      </w:r>
      <w:r/>
    </w:p>
    <w:p>
      <w:pPr>
        <w:pStyle w:val="68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6"/>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w:t>
      </w:r>
      <w:r/>
    </w:p>
    <w:p>
      <w:pPr>
        <w:pStyle w:val="68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8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6"/>
        <w:ind w:firstLine="482"/>
        <w:jc w:val="both"/>
        <w:keepLines w:val="0"/>
        <w:keepNext w:val="0"/>
        <w:pageBreakBefore w:val="0"/>
        <w:spacing w:beforeAutospacing="0" w:afterAutospacing="0" w:line="440" w:lineRule="exact"/>
        <w:widowControl w:val="off"/>
        <w:rPr>
          <w:highlight w:val="none"/>
        </w:rPr>
      </w:pPr>
      <w:r>
        <w:rPr>
          <w:highlight w:val="none"/>
        </w:rPr>
        <w:t xml:space="preserve"> </w:t>
      </w:r>
      <w:r/>
    </w:p>
    <w:p>
      <w:pPr>
        <w:pStyle w:val="686"/>
        <w:ind w:firstLine="482"/>
        <w:jc w:val="both"/>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6"/>
        <w:ind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6"/>
        <w:ind w:firstLine="624"/>
        <w:jc w:val="both"/>
        <w:spacing w:beforeAutospacing="0" w:afterAutospacing="0" w:line="0" w:lineRule="atLeast"/>
        <w:rPr>
          <w:highlight w:val="none"/>
        </w:rPr>
      </w:pPr>
      <w:r>
        <w:rPr>
          <w:highlight w:val="none"/>
        </w:rPr>
        <w:t xml:space="preserve"> </w:t>
      </w:r>
      <w:r/>
    </w:p>
    <w:p>
      <w:pPr>
        <w:pStyle w:val="68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6"/>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8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t xml:space="preserve"> </w:t>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jc w:val="center"/>
        <w:spacing w:beforeAutospacing="0" w:afterAutospacing="0" w:line="0" w:lineRule="atLeast"/>
        <w:rPr>
          <w:highlight w:val="none"/>
        </w:rPr>
      </w:pPr>
      <w:r>
        <w:rPr>
          <w:highlight w:val="none"/>
        </w:rPr>
      </w:r>
      <w:r/>
    </w:p>
    <w:p>
      <w:pPr>
        <w:pStyle w:val="686"/>
        <w:ind w:left="0" w:right="0"/>
        <w:jc w:val="center"/>
        <w:keepLines w:val="0"/>
        <w:keepNext w:val="0"/>
        <w:spacing w:before="0" w:beforeAutospacing="0" w:after="0" w:afterAutospacing="0"/>
        <w:widowControl w:val="off"/>
        <w:rPr>
          <w:color w:val="4472c4" w:themeColor="accent5"/>
          <w:highlight w:val="yellow"/>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4472c4" w:themeColor="accent5"/>
          <w:sz w:val="32"/>
          <w:szCs w:val="32"/>
          <w:highlight w:val="yellow"/>
          <w14:textFill>
            <w14:solidFill>
              <w14:schemeClr w14:val="accent5"/>
            </w14:solidFill>
          </w14:textFill>
        </w:rPr>
        <w:t xml:space="preserve">十一、关于符合本国产品标准的声明函</w:t>
      </w:r>
      <w:r/>
    </w:p>
    <w:p>
      <w:pPr>
        <w:pStyle w:val="686"/>
        <w:ind w:left="0" w:firstLine="420"/>
        <w:jc w:val="both"/>
        <w:keepLines w:val="0"/>
        <w:keepNext w:val="0"/>
        <w:spacing w:before="0" w:beforeAutospacing="0" w:after="0" w:afterAutospacing="0"/>
        <w:widowControl w:val="off"/>
        <w:rPr>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4472c4" w:themeColor="accent5"/>
          <w:sz w:val="24"/>
          <w:szCs w:val="24"/>
          <w14:textFill>
            <w14:solidFill>
              <w14:schemeClr w14:val="accent5"/>
            </w14:solidFill>
          </w14:textFill>
        </w:rPr>
        <w:t xml:space="preserve"> </w:t>
      </w:r>
      <w:r/>
    </w:p>
    <w:p>
      <w:pPr>
        <w:pStyle w:val="686"/>
        <w:ind w:left="0" w:firstLine="697"/>
        <w:jc w:val="both"/>
        <w:keepLines w:val="0"/>
        <w:keepNext w:val="0"/>
        <w:pageBreakBefore w:val="0"/>
        <w:spacing w:beforeAutospacing="0" w:afterAutospacing="0" w:line="440" w:lineRule="exact"/>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14:textFill>
            <w14:solidFill>
              <w14:schemeClr w14:val="accent5"/>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6"/>
        <w:ind w:left="0" w:firstLine="697"/>
        <w:jc w:val="both"/>
        <w:keepLines w:val="0"/>
        <w:keepNext w:val="0"/>
        <w:pageBreakBefore w:val="0"/>
        <w:spacing w:beforeAutospacing="0" w:afterAutospacing="0" w:line="440" w:lineRule="exact"/>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1.</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（产品名称1）</w:t>
      </w:r>
      <w:r>
        <w:rPr>
          <w:rFonts w:ascii="宋体" w:hAnsi="宋体" w:eastAsia="宋体" w:cs="宋体"/>
          <w:b/>
          <w:bCs/>
          <w:color w:val="4472c4" w:themeColor="accent5"/>
          <w:sz w:val="24"/>
          <w:szCs w:val="24"/>
          <w:shd w:val="clear" w:color="auto" w:fill="ffffff"/>
          <w:vertAlign w:val="superscript"/>
          <w14:textFill>
            <w14:solidFill>
              <w14:schemeClr w14:val="accent5"/>
            </w14:solidFill>
          </w14:textFill>
        </w:rPr>
        <w:t xml:space="preserve">1</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，生产厂为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（厂名）</w:t>
      </w:r>
      <w:r>
        <w:rPr>
          <w:rFonts w:ascii="宋体" w:hAnsi="宋体" w:eastAsia="宋体" w:cs="宋体"/>
          <w:b/>
          <w:bCs/>
          <w:color w:val="4472c4" w:themeColor="accent5"/>
          <w:sz w:val="24"/>
          <w:szCs w:val="24"/>
          <w:shd w:val="clear" w:color="auto" w:fill="ffffff"/>
          <w:vertAlign w:val="superscript"/>
          <w14:textFill>
            <w14:solidFill>
              <w14:schemeClr w14:val="accent5"/>
            </w14:solidFill>
          </w14:textFill>
        </w:rPr>
        <w:t xml:space="preserve">2</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，厂址为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（生产厂址）</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 （产品名称1）</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 </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的中国境内生产的组件成本占比≥</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（规定比例）</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 xml:space="preserve">3</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（产品名称1）</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（关键组件）</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 xml:space="preserve">4</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在中国境内生产。</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（产品名称1）</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（关键工序）</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 xml:space="preserve">5</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在中国境内完成。</w:t>
      </w:r>
      <w:r/>
    </w:p>
    <w:p>
      <w:pPr>
        <w:pStyle w:val="686"/>
        <w:ind w:left="0" w:firstLine="697"/>
        <w:jc w:val="both"/>
        <w:keepLines w:val="0"/>
        <w:keepNext w:val="0"/>
        <w:pageBreakBefore w:val="0"/>
        <w:spacing w:beforeAutospacing="0" w:afterAutospacing="0" w:line="440" w:lineRule="exact"/>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2.</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（产品名称2）</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，生产厂为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（厂名）</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，厂址为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xml:space="preserve">（生产厂址）</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（产品名称2）</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的中国境内生产的组件成本占比≥</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（规定比例）</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（产品名称2）</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（关键组件）</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在中国境内生产。</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（产品名称1）</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xml:space="preserve">（关键工序）</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在中国境内完成。</w:t>
      </w:r>
      <w:r/>
    </w:p>
    <w:p>
      <w:pPr>
        <w:pStyle w:val="686"/>
        <w:ind w:left="0" w:firstLine="697"/>
        <w:jc w:val="both"/>
        <w:keepLines w:val="0"/>
        <w:keepNext w:val="0"/>
        <w:pageBreakBefore w:val="0"/>
        <w:spacing w:beforeAutospacing="0" w:afterAutospacing="0" w:line="440" w:lineRule="exact"/>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w:t>
      </w:r>
      <w:r/>
    </w:p>
    <w:p>
      <w:pPr>
        <w:pStyle w:val="686"/>
        <w:ind w:left="0" w:firstLine="697"/>
        <w:jc w:val="both"/>
        <w:keepLines w:val="0"/>
        <w:keepNext w:val="0"/>
        <w:pageBreakBefore w:val="0"/>
        <w:spacing w:beforeAutospacing="0" w:afterAutospacing="0" w:line="440" w:lineRule="exact"/>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本公司（单位）对上述声明内容的真实性负责。如有虚假，愿承担相应法律责任。</w:t>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14:textFill>
            <w14:solidFill>
              <w14:schemeClr w14:val="accent5"/>
            </w14:solidFill>
          </w14:textFill>
        </w:rPr>
        <w:t xml:space="preserve"> </w:t>
      </w:r>
      <w:r/>
    </w:p>
    <w:p>
      <w:pPr>
        <w:pStyle w:val="686"/>
        <w:ind w:left="0" w:right="480" w:firstLine="3720"/>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公司（单位）名称（盖章）：　</w:t>
      </w:r>
      <w:r/>
    </w:p>
    <w:p>
      <w:pPr>
        <w:pStyle w:val="686"/>
        <w:jc w:val="center"/>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             日期：　   年　  月　  日         </w:t>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b/>
          <w:bCs/>
          <w:color w:val="4472c4" w:themeColor="accent5"/>
          <w14:textFill>
            <w14:solidFill>
              <w14:schemeClr w14:val="accent5"/>
            </w14:solidFill>
          </w14:textFill>
        </w:rPr>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1.产品如有型号，请在“产品名称”栏一并填写。</w:t>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2.生产厂名与厂址应与生产厂营业执照载明的相关信息保持一致。</w:t>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3.该产品的中国境内生产的组件成本占比相关要求实施前，“规定比例”栏可不填，下同。</w:t>
      </w:r>
      <w:r/>
    </w:p>
    <w:p>
      <w:pPr>
        <w:pStyle w:val="686"/>
        <w:jc w:val="both"/>
        <w:keepLines w:val="0"/>
        <w:keepNext w:val="0"/>
        <w:spacing w:before="30" w:beforeAutospacing="0" w:after="30" w:afterAutospacing="0"/>
        <w:widowControl w:val="off"/>
        <w:rPr>
          <w:b/>
          <w:bCs/>
          <w:color w:val="4472c4" w:themeColor="accent5"/>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4.该产品的关键组件要求实施前，“关键组件”栏可不填，下同。</w:t>
      </w:r>
      <w:r/>
    </w:p>
    <w:p>
      <w:pPr>
        <w:pStyle w:val="686"/>
        <w:jc w:val="both"/>
        <w:keepLines w:val="0"/>
        <w:keepNext w:val="0"/>
        <w:spacing w:before="30" w:beforeAutospacing="0" w:after="30" w:afterAutospacing="0"/>
        <w:widowControl w:val="off"/>
        <w:rPr>
          <w:rFonts w:ascii="宋体" w:hAnsi="宋体" w:eastAsia="宋体" w:cs="宋体"/>
          <w:b/>
          <w:bCs/>
          <w:color w:val="4472c4" w:themeColor="accent5"/>
          <w:sz w:val="24"/>
          <w:szCs w:val="24"/>
          <w:shd w:val="clear" w:color="auto" w:fill="ffffff"/>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5.该产品的关键工序要求实施前，“关键工序”栏可不填，下同。</w:t>
      </w:r>
      <w:r/>
    </w:p>
    <w:p>
      <w:pPr>
        <w:pStyle w:val="686"/>
        <w:jc w:val="both"/>
        <w:keepLines w:val="0"/>
        <w:keepNext w:val="0"/>
        <w:spacing w:before="30" w:beforeAutospacing="0" w:after="30" w:afterAutospacing="0"/>
        <w:widowControl w:val="off"/>
        <w:rPr>
          <w:rFonts w:ascii="宋体" w:hAnsi="宋体" w:eastAsia="宋体" w:cs="宋体"/>
          <w:b/>
          <w:bCs/>
          <w:color w:val="4472c4" w:themeColor="accent5"/>
          <w:sz w:val="24"/>
          <w:szCs w:val="24"/>
          <w:shd w:val="clear" w:color="auto" w:fill="ffffff"/>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4472c4" w:themeColor="accent5"/>
          <w:sz w:val="24"/>
          <w:szCs w:val="24"/>
          <w:shd w:val="clear" w:color="auto" w:fill="ffffff"/>
          <w14:textFill>
            <w14:solidFill>
              <w14:schemeClr w14:val="accent5"/>
            </w14:solidFill>
          </w14:textFill>
        </w:rPr>
        <w:t xml:space="preserve">6.用</w:t>
      </w:r>
      <w:r>
        <w:rPr>
          <w:rFonts w:hint="eastAsia" w:ascii="宋体" w:hAnsi="宋体" w:eastAsia="宋体" w:cs="宋体"/>
          <w:b/>
          <w:bCs/>
          <w:color w:val="4472c4" w:themeColor="accent5"/>
          <w:sz w:val="24"/>
          <w:szCs w:val="24"/>
          <w:shd w:val="clear" w:color="auto" w:fill="ffffff"/>
          <w:lang w:val="en-US" w:eastAsia="zh-CN"/>
          <w14:textFill>
            <w14:solidFill>
              <w14:schemeClr w14:val="accent5"/>
            </w14:solidFill>
          </w14:textFill>
        </w:rPr>
        <w:t xml:space="preserve">横</w:t>
      </w:r>
      <w:r>
        <w:rPr>
          <w:rFonts w:ascii="宋体" w:hAnsi="宋体" w:eastAsia="宋体" w:cs="宋体"/>
          <w:b/>
          <w:bCs/>
          <w:color w:val="4472c4" w:themeColor="accent5"/>
          <w:sz w:val="24"/>
          <w:szCs w:val="24"/>
          <w:shd w:val="clear" w:color="auto" w:fill="ffffff"/>
          <w14:textFill>
            <w14:solidFill>
              <w14:schemeClr w14:val="accent5"/>
            </w14:solidFill>
          </w14:textFill>
        </w:rPr>
        <w:t xml:space="preserve">线划除的地方无需填写。</w:t>
      </w:r>
      <w:r/>
    </w:p>
    <w:p>
      <w:pPr>
        <w:pStyle w:val="686"/>
        <w:jc w:val="both"/>
        <w:keepLines w:val="0"/>
        <w:keepNext w:val="0"/>
        <w:spacing w:before="30" w:beforeAutospacing="0" w:after="30" w:afterAutospacing="0"/>
        <w:widowControl w:val="off"/>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4472c4" w:themeColor="accent5"/>
          <w:sz w:val="24"/>
          <w:szCs w:val="24"/>
          <w:highlight w:val="none"/>
          <w:u w:val="single"/>
          <w:lang w:val="en-US" w:eastAsia="zh-CN" w:bidi="ar-SA"/>
          <w14:textFill>
            <w14:solidFill>
              <w14:schemeClr w14:val="accent5"/>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68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b/>
          <w:bCs/>
          <w:sz w:val="21"/>
        </w:rPr>
      </w:pPr>
      <w:r>
        <w:rPr>
          <w:rFonts w:ascii="Arial"/>
          <w:b/>
          <w:bCs/>
          <w:sz w:val="21"/>
        </w:rPr>
      </w:r>
      <w:r/>
    </w:p>
    <w:p>
      <w:pPr>
        <w:spacing w:line="241" w:lineRule="auto"/>
        <w:rPr>
          <w:rFonts w:ascii="Arial"/>
          <w:b/>
          <w:bCs/>
          <w:sz w:val="21"/>
        </w:rPr>
      </w:pPr>
      <w:r>
        <w:rPr>
          <w:rFonts w:ascii="Arial"/>
          <w:b/>
          <w:bCs/>
          <w:sz w:val="21"/>
        </w:rPr>
      </w:r>
      <w:r/>
    </w:p>
    <w:p>
      <w:pPr>
        <w:pStyle w:val="686"/>
        <w:jc w:val="center"/>
        <w:spacing w:beforeAutospacing="0" w:afterAutospacing="0" w:line="0" w:lineRule="atLeast"/>
        <w:rPr>
          <w:b/>
          <w:bCs/>
          <w:highlight w:val="none"/>
        </w:rPr>
      </w:pPr>
      <w:r>
        <w:rPr>
          <w:b/>
          <w:bCs/>
          <w:highlight w:val="none"/>
        </w:rPr>
        <w:t xml:space="preserve"> </w:t>
      </w:r>
      <w:r/>
    </w:p>
    <w:p>
      <w:pPr>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68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6"/>
        <w:ind w:firstLine="645"/>
        <w:jc w:val="both"/>
        <w:spacing w:beforeAutospacing="0" w:afterAutospacing="0" w:line="0" w:lineRule="atLeast"/>
        <w:rPr>
          <w:highlight w:val="none"/>
        </w:rPr>
      </w:pPr>
      <w:r>
        <w:rPr>
          <w:highlight w:val="none"/>
        </w:rPr>
        <w:t xml:space="preserve"> </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86"/>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86"/>
        <w:ind w:firstLine="645"/>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r>
      <w:r/>
    </w:p>
    <w:p>
      <w:pPr>
        <w:pStyle w:val="686"/>
        <w:jc w:val="both"/>
        <w:spacing w:beforeAutospacing="0" w:afterAutospacing="0" w:line="0" w:lineRule="atLeast"/>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center"/>
        <w:spacing w:beforeAutospacing="0" w:afterAutospacing="0" w:line="0" w:lineRule="atLeast"/>
        <w:rPr>
          <w:rFonts w:hint="eastAsia" w:ascii="宋体" w:hAnsi="宋体" w:eastAsia="宋体" w:cs="宋体"/>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w:t>
      </w:r>
      <w:r>
        <w:rPr>
          <w:rFonts w:hint="eastAsia" w:ascii="黑体" w:hAnsi="宋体" w:eastAsia="黑体" w:cs="黑体"/>
          <w:b/>
          <w:color w:val="000000"/>
          <w:sz w:val="32"/>
          <w:szCs w:val="32"/>
          <w:highlight w:val="none"/>
          <w:lang w:val="en-US" w:eastAsia="zh-CN"/>
        </w:rPr>
        <w:t xml:space="preserve">分项</w:t>
      </w:r>
      <w:r>
        <w:rPr>
          <w:rFonts w:hint="eastAsia" w:ascii="黑体" w:hAnsi="宋体" w:eastAsia="黑体" w:cs="黑体"/>
          <w:b/>
          <w:color w:val="000000"/>
          <w:sz w:val="32"/>
          <w:szCs w:val="32"/>
          <w:highlight w:val="none"/>
        </w:rPr>
        <w:t xml:space="preserve">报价表</w:t>
      </w:r>
      <w:r/>
    </w:p>
    <w:tbl>
      <w:tblPr>
        <w:tblStyle w:val="662"/>
        <w:tblW w:w="5265"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837"/>
        <w:gridCol w:w="953"/>
        <w:gridCol w:w="1371"/>
        <w:gridCol w:w="786"/>
        <w:gridCol w:w="968"/>
        <w:gridCol w:w="736"/>
        <w:gridCol w:w="1329"/>
        <w:gridCol w:w="1225"/>
      </w:tblGrid>
      <w:tr>
        <w:trPr>
          <w:tblCellSpacing w:w="0" w:type="dxa"/>
          <w:trHeight w:val="372"/>
        </w:trPr>
        <w:tc>
          <w:tcPr>
            <w:tcW w:w="439" w:type="pct"/>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序号</w:t>
            </w:r>
            <w:r/>
          </w:p>
        </w:tc>
        <w:tc>
          <w:tcPr>
            <w:tcW w:w="837"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产品</w:t>
            </w:r>
            <w:r/>
          </w:p>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名称</w:t>
            </w:r>
            <w:r/>
          </w:p>
        </w:tc>
        <w:tc>
          <w:tcPr>
            <w:tcW w:w="953"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品牌</w:t>
            </w:r>
            <w:r/>
          </w:p>
        </w:tc>
        <w:tc>
          <w:tcPr>
            <w:tcW w:w="1371"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规格型号</w:t>
            </w:r>
            <w:r/>
          </w:p>
        </w:tc>
        <w:tc>
          <w:tcPr>
            <w:tcW w:w="786"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产地</w:t>
            </w:r>
            <w:r/>
          </w:p>
        </w:tc>
        <w:tc>
          <w:tcPr>
            <w:tcW w:w="968"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单位</w:t>
            </w:r>
            <w:r/>
          </w:p>
        </w:tc>
        <w:tc>
          <w:tcPr>
            <w:tcW w:w="736"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数量</w:t>
            </w:r>
            <w:r/>
          </w:p>
        </w:tc>
        <w:tc>
          <w:tcPr>
            <w:tcW w:w="1329"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分项单价</w:t>
            </w:r>
            <w:r/>
          </w:p>
        </w:tc>
        <w:tc>
          <w:tcPr>
            <w:tcW w:w="1225" w:type="dxa"/>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分项总价</w:t>
            </w:r>
            <w:r/>
          </w:p>
        </w:tc>
      </w:tr>
      <w:tr>
        <w:trPr>
          <w:tblCellSpacing w:w="0" w:type="dxa"/>
          <w:trHeight w:val="655"/>
        </w:trPr>
        <w:tc>
          <w:tcPr>
            <w:tcW w:w="439" w:type="pct"/>
            <w:vAlign w:val="center"/>
            <w:textDirection w:val="lrTb"/>
            <w:noWrap w:val="false"/>
          </w:tcPr>
          <w:p>
            <w:pPr>
              <w:pStyle w:val="686"/>
              <w:ind w:firstLine="0"/>
              <w:jc w:val="center"/>
              <w:spacing w:beforeAutospacing="0" w:afterAutospacing="0" w:line="240" w:lineRule="auto"/>
              <w:rPr>
                <w:b/>
                <w:bCs/>
              </w:rPr>
            </w:pPr>
            <w:r>
              <w:rPr>
                <w:rFonts w:hint="eastAsia" w:ascii="宋体" w:hAnsi="宋体" w:eastAsia="宋体" w:cs="宋体"/>
                <w:b/>
                <w:bCs/>
                <w:color w:val="000000"/>
              </w:rPr>
              <w:t xml:space="preserve">1</w:t>
            </w:r>
            <w:r/>
          </w:p>
        </w:tc>
        <w:tc>
          <w:tcPr>
            <w:tcW w:w="465" w:type="pct"/>
            <w:vAlign w:val="center"/>
            <w:textDirection w:val="lrTb"/>
            <w:noWrap w:val="false"/>
          </w:tcPr>
          <w:p>
            <w:pPr>
              <w:pStyle w:val="686"/>
              <w:ind w:firstLine="0"/>
              <w:jc w:val="center"/>
              <w:spacing w:beforeAutospacing="0" w:afterAutospacing="0" w:line="240" w:lineRule="auto"/>
              <w:rPr>
                <w:b/>
                <w:bCs/>
              </w:rPr>
            </w:pPr>
            <w:r>
              <w:rPr>
                <w:b/>
                <w:bCs/>
              </w:rPr>
            </w:r>
            <w:r/>
          </w:p>
        </w:tc>
        <w:tc>
          <w:tcPr>
            <w:tcW w:w="530" w:type="pct"/>
            <w:vAlign w:val="center"/>
            <w:textDirection w:val="lrTb"/>
            <w:noWrap w:val="false"/>
          </w:tcPr>
          <w:p>
            <w:pPr>
              <w:pStyle w:val="686"/>
              <w:ind w:firstLine="0"/>
              <w:jc w:val="center"/>
              <w:spacing w:beforeAutospacing="0" w:afterAutospacing="0" w:line="240" w:lineRule="auto"/>
              <w:rPr>
                <w:b/>
                <w:bCs/>
              </w:rPr>
            </w:pPr>
            <w:r>
              <w:rPr>
                <w:b/>
                <w:bCs/>
              </w:rPr>
            </w:r>
            <w:r/>
          </w:p>
        </w:tc>
        <w:tc>
          <w:tcPr>
            <w:tcW w:w="762" w:type="pct"/>
            <w:vAlign w:val="center"/>
            <w:textDirection w:val="lrTb"/>
            <w:noWrap w:val="false"/>
          </w:tcPr>
          <w:p>
            <w:pPr>
              <w:pStyle w:val="686"/>
              <w:ind w:firstLine="0"/>
              <w:jc w:val="center"/>
              <w:spacing w:beforeAutospacing="0" w:afterAutospacing="0" w:line="240" w:lineRule="auto"/>
              <w:rPr>
                <w:b/>
                <w:bCs/>
              </w:rPr>
            </w:pPr>
            <w:r>
              <w:rPr>
                <w:b/>
                <w:bCs/>
              </w:rPr>
            </w:r>
            <w:r/>
          </w:p>
        </w:tc>
        <w:tc>
          <w:tcPr>
            <w:tcW w:w="437" w:type="pct"/>
            <w:vAlign w:val="center"/>
            <w:textDirection w:val="lrTb"/>
            <w:noWrap w:val="false"/>
          </w:tcPr>
          <w:p>
            <w:pPr>
              <w:pStyle w:val="686"/>
              <w:ind w:firstLine="0"/>
              <w:jc w:val="center"/>
              <w:spacing w:beforeAutospacing="0" w:afterAutospacing="0" w:line="240" w:lineRule="auto"/>
              <w:rPr>
                <w:b/>
                <w:bCs/>
              </w:rPr>
            </w:pPr>
            <w:r>
              <w:rPr>
                <w:b/>
                <w:bCs/>
              </w:rPr>
            </w:r>
            <w:r/>
          </w:p>
        </w:tc>
        <w:tc>
          <w:tcPr>
            <w:tcW w:w="538" w:type="pct"/>
            <w:vAlign w:val="center"/>
            <w:textDirection w:val="lrTb"/>
            <w:noWrap w:val="false"/>
          </w:tcPr>
          <w:p>
            <w:pPr>
              <w:pStyle w:val="686"/>
              <w:ind w:firstLine="0"/>
              <w:jc w:val="center"/>
              <w:spacing w:beforeAutospacing="0" w:afterAutospacing="0" w:line="240" w:lineRule="auto"/>
              <w:rPr>
                <w:b/>
                <w:bCs/>
              </w:rPr>
            </w:pPr>
            <w:r>
              <w:rPr>
                <w:b/>
                <w:bCs/>
              </w:rPr>
            </w:r>
            <w:r/>
          </w:p>
        </w:tc>
        <w:tc>
          <w:tcPr>
            <w:tcW w:w="409" w:type="pct"/>
            <w:vAlign w:val="center"/>
            <w:textDirection w:val="lrTb"/>
            <w:noWrap w:val="false"/>
          </w:tcPr>
          <w:p>
            <w:pPr>
              <w:pStyle w:val="686"/>
              <w:ind w:firstLine="0"/>
              <w:jc w:val="center"/>
              <w:spacing w:beforeAutospacing="0" w:afterAutospacing="0" w:line="240" w:lineRule="auto"/>
              <w:rPr>
                <w:b/>
                <w:bCs/>
              </w:rPr>
            </w:pPr>
            <w:r>
              <w:rPr>
                <w:b/>
                <w:bCs/>
              </w:rPr>
            </w:r>
            <w:r/>
          </w:p>
        </w:tc>
        <w:tc>
          <w:tcPr>
            <w:tcW w:w="739" w:type="pct"/>
            <w:vAlign w:val="center"/>
            <w:textDirection w:val="lrTb"/>
            <w:noWrap w:val="false"/>
          </w:tcPr>
          <w:p>
            <w:pPr>
              <w:pStyle w:val="686"/>
              <w:ind w:firstLine="0"/>
              <w:jc w:val="center"/>
              <w:spacing w:beforeAutospacing="0" w:afterAutospacing="0" w:line="240" w:lineRule="auto"/>
              <w:rPr>
                <w:b/>
                <w:bCs/>
              </w:rPr>
            </w:pPr>
            <w:r>
              <w:rPr>
                <w:b/>
                <w:bCs/>
              </w:rPr>
            </w:r>
            <w:r/>
          </w:p>
        </w:tc>
        <w:tc>
          <w:tcPr>
            <w:tcW w:w="678" w:type="pct"/>
            <w:vAlign w:val="center"/>
            <w:textDirection w:val="lrTb"/>
            <w:noWrap w:val="false"/>
          </w:tcPr>
          <w:p>
            <w:pPr>
              <w:pStyle w:val="686"/>
              <w:ind w:firstLine="0"/>
              <w:jc w:val="center"/>
              <w:spacing w:beforeAutospacing="0" w:afterAutospacing="0" w:line="240" w:lineRule="auto"/>
              <w:rPr>
                <w:b/>
                <w:bCs/>
              </w:rPr>
            </w:pPr>
            <w:r>
              <w:rPr>
                <w:b/>
                <w:bCs/>
              </w:rPr>
            </w:r>
            <w:r/>
          </w:p>
        </w:tc>
      </w:tr>
      <w:tr>
        <w:trPr>
          <w:tblCellSpacing w:w="0" w:type="dxa"/>
          <w:trHeight w:val="730"/>
        </w:trPr>
        <w:tc>
          <w:tcPr>
            <w:tcW w:w="439" w:type="pct"/>
            <w:vAlign w:val="center"/>
            <w:textDirection w:val="lrTb"/>
            <w:noWrap w:val="false"/>
          </w:tcPr>
          <w:p>
            <w:pPr>
              <w:pStyle w:val="686"/>
              <w:ind w:firstLine="0"/>
              <w:jc w:val="center"/>
              <w:spacing w:beforeAutospacing="0" w:afterAutospacing="0" w:line="240" w:lineRule="auto"/>
            </w:pPr>
            <w:r>
              <w:rPr>
                <w:rFonts w:hint="eastAsia" w:ascii="宋体" w:hAnsi="宋体" w:eastAsia="宋体" w:cs="宋体"/>
                <w:color w:val="000000"/>
              </w:rPr>
              <w:t xml:space="preserve">2</w:t>
            </w:r>
            <w:r/>
          </w:p>
        </w:tc>
        <w:tc>
          <w:tcPr>
            <w:tcW w:w="465" w:type="pct"/>
            <w:vAlign w:val="center"/>
            <w:textDirection w:val="lrTb"/>
            <w:noWrap w:val="false"/>
          </w:tcPr>
          <w:p>
            <w:pPr>
              <w:pStyle w:val="686"/>
              <w:ind w:firstLine="0"/>
              <w:jc w:val="both"/>
              <w:spacing w:beforeAutospacing="0" w:afterAutospacing="0" w:line="240" w:lineRule="auto"/>
            </w:pPr>
            <w:r>
              <w:t xml:space="preserve"> </w:t>
            </w:r>
            <w:r/>
          </w:p>
        </w:tc>
        <w:tc>
          <w:tcPr>
            <w:tcW w:w="530" w:type="pct"/>
            <w:vAlign w:val="center"/>
            <w:textDirection w:val="lrTb"/>
            <w:noWrap w:val="false"/>
          </w:tcPr>
          <w:p>
            <w:pPr>
              <w:pStyle w:val="686"/>
              <w:ind w:firstLine="0"/>
              <w:jc w:val="both"/>
              <w:spacing w:beforeAutospacing="0" w:afterAutospacing="0" w:line="240" w:lineRule="auto"/>
            </w:pPr>
            <w:r>
              <w:t xml:space="preserve"> </w:t>
            </w:r>
            <w:r/>
          </w:p>
        </w:tc>
        <w:tc>
          <w:tcPr>
            <w:tcW w:w="762" w:type="pct"/>
            <w:vAlign w:val="center"/>
            <w:textDirection w:val="lrTb"/>
            <w:noWrap w:val="false"/>
          </w:tcPr>
          <w:p>
            <w:pPr>
              <w:pStyle w:val="686"/>
              <w:ind w:firstLine="0"/>
              <w:jc w:val="both"/>
              <w:spacing w:beforeAutospacing="0" w:afterAutospacing="0" w:line="240" w:lineRule="auto"/>
            </w:pPr>
            <w:r>
              <w:t xml:space="preserve"> </w:t>
            </w:r>
            <w:r/>
          </w:p>
        </w:tc>
        <w:tc>
          <w:tcPr>
            <w:tcW w:w="437" w:type="pct"/>
            <w:vAlign w:val="center"/>
            <w:textDirection w:val="lrTb"/>
            <w:noWrap w:val="false"/>
          </w:tcPr>
          <w:p>
            <w:pPr>
              <w:pStyle w:val="686"/>
              <w:ind w:firstLine="0"/>
              <w:jc w:val="both"/>
              <w:spacing w:beforeAutospacing="0" w:afterAutospacing="0" w:line="240" w:lineRule="auto"/>
            </w:pPr>
            <w:r>
              <w:t xml:space="preserve"> </w:t>
            </w:r>
            <w:r/>
          </w:p>
        </w:tc>
        <w:tc>
          <w:tcPr>
            <w:tcW w:w="538" w:type="pct"/>
            <w:vAlign w:val="center"/>
            <w:textDirection w:val="lrTb"/>
            <w:noWrap w:val="false"/>
          </w:tcPr>
          <w:p>
            <w:pPr>
              <w:pStyle w:val="686"/>
              <w:ind w:firstLine="0"/>
              <w:jc w:val="both"/>
              <w:spacing w:beforeAutospacing="0" w:afterAutospacing="0" w:line="240" w:lineRule="auto"/>
            </w:pPr>
            <w:r>
              <w:t xml:space="preserve"> </w:t>
            </w:r>
            <w:r/>
          </w:p>
        </w:tc>
        <w:tc>
          <w:tcPr>
            <w:tcW w:w="409" w:type="pct"/>
            <w:vAlign w:val="center"/>
            <w:textDirection w:val="lrTb"/>
            <w:noWrap w:val="false"/>
          </w:tcPr>
          <w:p>
            <w:pPr>
              <w:pStyle w:val="686"/>
              <w:ind w:firstLine="0"/>
              <w:jc w:val="both"/>
              <w:spacing w:beforeAutospacing="0" w:afterAutospacing="0" w:line="240" w:lineRule="auto"/>
            </w:pPr>
            <w:r>
              <w:t xml:space="preserve"> </w:t>
            </w:r>
            <w:r/>
          </w:p>
        </w:tc>
        <w:tc>
          <w:tcPr>
            <w:tcW w:w="739" w:type="pct"/>
            <w:vAlign w:val="center"/>
            <w:textDirection w:val="lrTb"/>
            <w:noWrap w:val="false"/>
          </w:tcPr>
          <w:p>
            <w:pPr>
              <w:pStyle w:val="686"/>
              <w:ind w:firstLine="0"/>
              <w:jc w:val="both"/>
              <w:spacing w:beforeAutospacing="0" w:afterAutospacing="0" w:line="240" w:lineRule="auto"/>
            </w:pPr>
            <w:r>
              <w:t xml:space="preserve"> </w:t>
            </w:r>
            <w:r/>
          </w:p>
        </w:tc>
        <w:tc>
          <w:tcPr>
            <w:tcW w:w="678" w:type="pct"/>
            <w:vAlign w:val="center"/>
            <w:textDirection w:val="lrTb"/>
            <w:noWrap w:val="false"/>
          </w:tcPr>
          <w:p>
            <w:pPr>
              <w:pStyle w:val="686"/>
              <w:ind w:firstLine="0"/>
              <w:jc w:val="both"/>
              <w:spacing w:beforeAutospacing="0" w:afterAutospacing="0" w:line="240" w:lineRule="auto"/>
            </w:pPr>
            <w:r>
              <w:t xml:space="preserve"> </w:t>
            </w:r>
            <w:r/>
          </w:p>
        </w:tc>
      </w:tr>
      <w:tr>
        <w:trPr>
          <w:tblCellSpacing w:w="0" w:type="dxa"/>
          <w:trHeight w:val="759"/>
        </w:trPr>
        <w:tc>
          <w:tcPr>
            <w:tcW w:w="439" w:type="pct"/>
            <w:vAlign w:val="center"/>
            <w:textDirection w:val="lrTb"/>
            <w:noWrap w:val="false"/>
          </w:tcPr>
          <w:p>
            <w:pPr>
              <w:pStyle w:val="686"/>
              <w:ind w:firstLine="0"/>
              <w:jc w:val="center"/>
              <w:spacing w:beforeAutospacing="0" w:afterAutospacing="0" w:line="240" w:lineRule="auto"/>
            </w:pPr>
            <w:r>
              <w:rPr>
                <w:rFonts w:hint="eastAsia" w:ascii="宋体" w:hAnsi="宋体" w:eastAsia="宋体" w:cs="宋体"/>
                <w:color w:val="000000"/>
              </w:rPr>
              <w:t xml:space="preserve">3</w:t>
            </w:r>
            <w:r/>
          </w:p>
        </w:tc>
        <w:tc>
          <w:tcPr>
            <w:tcW w:w="465" w:type="pct"/>
            <w:vAlign w:val="center"/>
            <w:textDirection w:val="lrTb"/>
            <w:noWrap w:val="false"/>
          </w:tcPr>
          <w:p>
            <w:pPr>
              <w:pStyle w:val="686"/>
              <w:ind w:firstLine="0"/>
              <w:jc w:val="both"/>
              <w:spacing w:beforeAutospacing="0" w:afterAutospacing="0" w:line="240" w:lineRule="auto"/>
            </w:pPr>
            <w:r>
              <w:t xml:space="preserve"> </w:t>
            </w:r>
            <w:r/>
          </w:p>
        </w:tc>
        <w:tc>
          <w:tcPr>
            <w:tcW w:w="530" w:type="pct"/>
            <w:vAlign w:val="center"/>
            <w:textDirection w:val="lrTb"/>
            <w:noWrap w:val="false"/>
          </w:tcPr>
          <w:p>
            <w:pPr>
              <w:pStyle w:val="686"/>
              <w:ind w:firstLine="0"/>
              <w:jc w:val="both"/>
              <w:spacing w:beforeAutospacing="0" w:afterAutospacing="0" w:line="240" w:lineRule="auto"/>
            </w:pPr>
            <w:r>
              <w:t xml:space="preserve"> </w:t>
            </w:r>
            <w:r/>
          </w:p>
        </w:tc>
        <w:tc>
          <w:tcPr>
            <w:tcW w:w="762" w:type="pct"/>
            <w:vAlign w:val="center"/>
            <w:textDirection w:val="lrTb"/>
            <w:noWrap w:val="false"/>
          </w:tcPr>
          <w:p>
            <w:pPr>
              <w:pStyle w:val="686"/>
              <w:ind w:firstLine="0"/>
              <w:jc w:val="both"/>
              <w:spacing w:beforeAutospacing="0" w:afterAutospacing="0" w:line="240" w:lineRule="auto"/>
            </w:pPr>
            <w:r>
              <w:t xml:space="preserve"> </w:t>
            </w:r>
            <w:r/>
          </w:p>
        </w:tc>
        <w:tc>
          <w:tcPr>
            <w:tcW w:w="437" w:type="pct"/>
            <w:vAlign w:val="center"/>
            <w:textDirection w:val="lrTb"/>
            <w:noWrap w:val="false"/>
          </w:tcPr>
          <w:p>
            <w:pPr>
              <w:pStyle w:val="686"/>
              <w:ind w:firstLine="0"/>
              <w:jc w:val="both"/>
              <w:spacing w:beforeAutospacing="0" w:afterAutospacing="0" w:line="240" w:lineRule="auto"/>
            </w:pPr>
            <w:r>
              <w:t xml:space="preserve"> </w:t>
            </w:r>
            <w:r/>
          </w:p>
        </w:tc>
        <w:tc>
          <w:tcPr>
            <w:tcW w:w="538" w:type="pct"/>
            <w:vAlign w:val="center"/>
            <w:textDirection w:val="lrTb"/>
            <w:noWrap w:val="false"/>
          </w:tcPr>
          <w:p>
            <w:pPr>
              <w:pStyle w:val="686"/>
              <w:ind w:firstLine="0"/>
              <w:jc w:val="both"/>
              <w:spacing w:beforeAutospacing="0" w:afterAutospacing="0" w:line="240" w:lineRule="auto"/>
            </w:pPr>
            <w:r>
              <w:t xml:space="preserve"> </w:t>
            </w:r>
            <w:r/>
          </w:p>
        </w:tc>
        <w:tc>
          <w:tcPr>
            <w:tcW w:w="409" w:type="pct"/>
            <w:vAlign w:val="center"/>
            <w:textDirection w:val="lrTb"/>
            <w:noWrap w:val="false"/>
          </w:tcPr>
          <w:p>
            <w:pPr>
              <w:pStyle w:val="686"/>
              <w:ind w:firstLine="0"/>
              <w:jc w:val="both"/>
              <w:spacing w:beforeAutospacing="0" w:afterAutospacing="0" w:line="240" w:lineRule="auto"/>
            </w:pPr>
            <w:r>
              <w:t xml:space="preserve"> </w:t>
            </w:r>
            <w:r/>
          </w:p>
        </w:tc>
        <w:tc>
          <w:tcPr>
            <w:tcW w:w="739" w:type="pct"/>
            <w:vAlign w:val="center"/>
            <w:textDirection w:val="lrTb"/>
            <w:noWrap w:val="false"/>
          </w:tcPr>
          <w:p>
            <w:pPr>
              <w:pStyle w:val="686"/>
              <w:ind w:firstLine="0"/>
              <w:jc w:val="both"/>
              <w:spacing w:beforeAutospacing="0" w:afterAutospacing="0" w:line="240" w:lineRule="auto"/>
            </w:pPr>
            <w:r>
              <w:t xml:space="preserve"> </w:t>
            </w:r>
            <w:r/>
          </w:p>
        </w:tc>
        <w:tc>
          <w:tcPr>
            <w:tcW w:w="678" w:type="pct"/>
            <w:vAlign w:val="center"/>
            <w:textDirection w:val="lrTb"/>
            <w:noWrap w:val="false"/>
          </w:tcPr>
          <w:p>
            <w:pPr>
              <w:pStyle w:val="686"/>
              <w:ind w:firstLine="0"/>
              <w:jc w:val="both"/>
              <w:spacing w:beforeAutospacing="0" w:afterAutospacing="0" w:line="240" w:lineRule="auto"/>
            </w:pPr>
            <w:r>
              <w:t xml:space="preserve"> </w:t>
            </w:r>
            <w:r/>
          </w:p>
        </w:tc>
      </w:tr>
      <w:tr>
        <w:trPr>
          <w:tblCellSpacing w:w="0" w:type="dxa"/>
          <w:trHeight w:val="673"/>
        </w:trPr>
        <w:tc>
          <w:tcPr>
            <w:tcW w:w="439" w:type="pct"/>
            <w:vAlign w:val="center"/>
            <w:textDirection w:val="lrTb"/>
            <w:noWrap w:val="false"/>
          </w:tcPr>
          <w:p>
            <w:pPr>
              <w:pStyle w:val="686"/>
              <w:ind w:firstLine="0"/>
              <w:jc w:val="center"/>
              <w:spacing w:beforeAutospacing="0" w:afterAutospacing="0" w:line="240" w:lineRule="auto"/>
            </w:pPr>
            <w:r>
              <w:rPr>
                <w:rFonts w:hint="eastAsia" w:ascii="宋体" w:hAnsi="宋体" w:eastAsia="宋体" w:cs="宋体"/>
                <w:color w:val="000000"/>
              </w:rPr>
              <w:t xml:space="preserve">4</w:t>
            </w:r>
            <w:r/>
          </w:p>
        </w:tc>
        <w:tc>
          <w:tcPr>
            <w:tcW w:w="465" w:type="pct"/>
            <w:vAlign w:val="center"/>
            <w:textDirection w:val="lrTb"/>
            <w:noWrap w:val="false"/>
          </w:tcPr>
          <w:p>
            <w:pPr>
              <w:pStyle w:val="686"/>
              <w:ind w:firstLine="0"/>
              <w:jc w:val="both"/>
              <w:spacing w:beforeAutospacing="0" w:afterAutospacing="0" w:line="240" w:lineRule="auto"/>
            </w:pPr>
            <w:r>
              <w:t xml:space="preserve"> </w:t>
            </w:r>
            <w:r/>
          </w:p>
        </w:tc>
        <w:tc>
          <w:tcPr>
            <w:tcW w:w="530" w:type="pct"/>
            <w:vAlign w:val="center"/>
            <w:textDirection w:val="lrTb"/>
            <w:noWrap w:val="false"/>
          </w:tcPr>
          <w:p>
            <w:pPr>
              <w:pStyle w:val="686"/>
              <w:ind w:firstLine="0"/>
              <w:jc w:val="both"/>
              <w:spacing w:beforeAutospacing="0" w:afterAutospacing="0" w:line="240" w:lineRule="auto"/>
            </w:pPr>
            <w:r>
              <w:t xml:space="preserve"> </w:t>
            </w:r>
            <w:r/>
          </w:p>
        </w:tc>
        <w:tc>
          <w:tcPr>
            <w:tcW w:w="762" w:type="pct"/>
            <w:vAlign w:val="center"/>
            <w:textDirection w:val="lrTb"/>
            <w:noWrap w:val="false"/>
          </w:tcPr>
          <w:p>
            <w:pPr>
              <w:pStyle w:val="686"/>
              <w:ind w:firstLine="0"/>
              <w:jc w:val="both"/>
              <w:spacing w:beforeAutospacing="0" w:afterAutospacing="0" w:line="240" w:lineRule="auto"/>
            </w:pPr>
            <w:r>
              <w:t xml:space="preserve"> </w:t>
            </w:r>
            <w:r/>
          </w:p>
        </w:tc>
        <w:tc>
          <w:tcPr>
            <w:tcW w:w="437" w:type="pct"/>
            <w:vAlign w:val="center"/>
            <w:textDirection w:val="lrTb"/>
            <w:noWrap w:val="false"/>
          </w:tcPr>
          <w:p>
            <w:pPr>
              <w:pStyle w:val="686"/>
              <w:ind w:firstLine="0"/>
              <w:jc w:val="both"/>
              <w:spacing w:beforeAutospacing="0" w:afterAutospacing="0" w:line="240" w:lineRule="auto"/>
            </w:pPr>
            <w:r>
              <w:t xml:space="preserve"> </w:t>
            </w:r>
            <w:r/>
          </w:p>
        </w:tc>
        <w:tc>
          <w:tcPr>
            <w:tcW w:w="538" w:type="pct"/>
            <w:vAlign w:val="center"/>
            <w:textDirection w:val="lrTb"/>
            <w:noWrap w:val="false"/>
          </w:tcPr>
          <w:p>
            <w:pPr>
              <w:pStyle w:val="686"/>
              <w:ind w:firstLine="0"/>
              <w:jc w:val="both"/>
              <w:spacing w:beforeAutospacing="0" w:afterAutospacing="0" w:line="240" w:lineRule="auto"/>
            </w:pPr>
            <w:r>
              <w:t xml:space="preserve"> </w:t>
            </w:r>
            <w:r/>
          </w:p>
        </w:tc>
        <w:tc>
          <w:tcPr>
            <w:tcW w:w="409" w:type="pct"/>
            <w:vAlign w:val="center"/>
            <w:textDirection w:val="lrTb"/>
            <w:noWrap w:val="false"/>
          </w:tcPr>
          <w:p>
            <w:pPr>
              <w:pStyle w:val="686"/>
              <w:ind w:firstLine="0"/>
              <w:jc w:val="both"/>
              <w:spacing w:beforeAutospacing="0" w:afterAutospacing="0" w:line="240" w:lineRule="auto"/>
            </w:pPr>
            <w:r>
              <w:t xml:space="preserve"> </w:t>
            </w:r>
            <w:r/>
          </w:p>
        </w:tc>
        <w:tc>
          <w:tcPr>
            <w:tcW w:w="739" w:type="pct"/>
            <w:vAlign w:val="center"/>
            <w:textDirection w:val="lrTb"/>
            <w:noWrap w:val="false"/>
          </w:tcPr>
          <w:p>
            <w:pPr>
              <w:pStyle w:val="686"/>
              <w:ind w:firstLine="0"/>
              <w:jc w:val="both"/>
              <w:spacing w:beforeAutospacing="0" w:afterAutospacing="0" w:line="240" w:lineRule="auto"/>
            </w:pPr>
            <w:r>
              <w:t xml:space="preserve"> </w:t>
            </w:r>
            <w:r/>
          </w:p>
        </w:tc>
        <w:tc>
          <w:tcPr>
            <w:tcW w:w="678" w:type="pct"/>
            <w:vAlign w:val="center"/>
            <w:textDirection w:val="lrTb"/>
            <w:noWrap w:val="false"/>
          </w:tcPr>
          <w:p>
            <w:pPr>
              <w:pStyle w:val="686"/>
              <w:ind w:firstLine="0"/>
              <w:jc w:val="both"/>
              <w:spacing w:beforeAutospacing="0" w:afterAutospacing="0" w:line="240" w:lineRule="auto"/>
            </w:pPr>
            <w:r>
              <w:t xml:space="preserve"> </w:t>
            </w:r>
            <w:r/>
          </w:p>
        </w:tc>
      </w:tr>
      <w:tr>
        <w:trPr>
          <w:tblCellSpacing w:w="0" w:type="dxa"/>
          <w:trHeight w:val="612"/>
        </w:trPr>
        <w:tc>
          <w:tcPr>
            <w:tcW w:w="439" w:type="pct"/>
            <w:vAlign w:val="center"/>
            <w:textDirection w:val="lrTb"/>
            <w:noWrap w:val="false"/>
          </w:tcPr>
          <w:p>
            <w:pPr>
              <w:pStyle w:val="686"/>
              <w:ind w:firstLine="0"/>
              <w:jc w:val="center"/>
              <w:spacing w:beforeAutospacing="0" w:afterAutospacing="0" w:line="240" w:lineRule="auto"/>
            </w:pPr>
            <w:r>
              <w:rPr>
                <w:rFonts w:hint="eastAsia" w:ascii="宋体" w:hAnsi="宋体" w:eastAsia="宋体" w:cs="宋体"/>
                <w:color w:val="000000"/>
              </w:rPr>
              <w:t xml:space="preserve">…</w:t>
            </w:r>
            <w:r/>
          </w:p>
        </w:tc>
        <w:tc>
          <w:tcPr>
            <w:tcW w:w="465" w:type="pct"/>
            <w:vAlign w:val="center"/>
            <w:textDirection w:val="lrTb"/>
            <w:noWrap w:val="false"/>
          </w:tcPr>
          <w:p>
            <w:pPr>
              <w:pStyle w:val="686"/>
              <w:ind w:firstLine="0"/>
              <w:jc w:val="both"/>
              <w:spacing w:beforeAutospacing="0" w:afterAutospacing="0" w:line="240" w:lineRule="auto"/>
            </w:pPr>
            <w:r>
              <w:rPr>
                <w:rFonts w:hint="eastAsia" w:ascii="宋体" w:hAnsi="宋体" w:eastAsia="宋体" w:cs="宋体"/>
                <w:color w:val="000000"/>
              </w:rPr>
              <w:t xml:space="preserve">……</w:t>
            </w:r>
            <w:r/>
          </w:p>
        </w:tc>
        <w:tc>
          <w:tcPr>
            <w:tcW w:w="530" w:type="pct"/>
            <w:vAlign w:val="center"/>
            <w:textDirection w:val="lrTb"/>
            <w:noWrap w:val="false"/>
          </w:tcPr>
          <w:p>
            <w:pPr>
              <w:pStyle w:val="686"/>
              <w:ind w:firstLine="0"/>
              <w:jc w:val="both"/>
              <w:spacing w:beforeAutospacing="0" w:afterAutospacing="0" w:line="240" w:lineRule="auto"/>
            </w:pPr>
            <w:r>
              <w:t xml:space="preserve"> </w:t>
            </w:r>
            <w:r/>
          </w:p>
        </w:tc>
        <w:tc>
          <w:tcPr>
            <w:tcW w:w="762" w:type="pct"/>
            <w:vAlign w:val="center"/>
            <w:textDirection w:val="lrTb"/>
            <w:noWrap w:val="false"/>
          </w:tcPr>
          <w:p>
            <w:pPr>
              <w:pStyle w:val="686"/>
              <w:ind w:firstLine="0"/>
              <w:jc w:val="both"/>
              <w:spacing w:beforeAutospacing="0" w:afterAutospacing="0" w:line="240" w:lineRule="auto"/>
            </w:pPr>
            <w:r>
              <w:t xml:space="preserve"> </w:t>
            </w:r>
            <w:r/>
          </w:p>
        </w:tc>
        <w:tc>
          <w:tcPr>
            <w:tcW w:w="437" w:type="pct"/>
            <w:vAlign w:val="center"/>
            <w:textDirection w:val="lrTb"/>
            <w:noWrap w:val="false"/>
          </w:tcPr>
          <w:p>
            <w:pPr>
              <w:pStyle w:val="686"/>
              <w:ind w:firstLine="0"/>
              <w:jc w:val="both"/>
              <w:spacing w:beforeAutospacing="0" w:afterAutospacing="0" w:line="240" w:lineRule="auto"/>
            </w:pPr>
            <w:r>
              <w:t xml:space="preserve"> </w:t>
            </w:r>
            <w:r/>
          </w:p>
        </w:tc>
        <w:tc>
          <w:tcPr>
            <w:tcW w:w="538" w:type="pct"/>
            <w:vAlign w:val="center"/>
            <w:textDirection w:val="lrTb"/>
            <w:noWrap w:val="false"/>
          </w:tcPr>
          <w:p>
            <w:pPr>
              <w:pStyle w:val="686"/>
              <w:ind w:firstLine="0"/>
              <w:jc w:val="both"/>
              <w:spacing w:beforeAutospacing="0" w:afterAutospacing="0" w:line="240" w:lineRule="auto"/>
            </w:pPr>
            <w:r>
              <w:t xml:space="preserve"> </w:t>
            </w:r>
            <w:r/>
          </w:p>
        </w:tc>
        <w:tc>
          <w:tcPr>
            <w:tcW w:w="409" w:type="pct"/>
            <w:vAlign w:val="center"/>
            <w:textDirection w:val="lrTb"/>
            <w:noWrap w:val="false"/>
          </w:tcPr>
          <w:p>
            <w:pPr>
              <w:pStyle w:val="686"/>
              <w:ind w:firstLine="0"/>
              <w:jc w:val="both"/>
              <w:spacing w:beforeAutospacing="0" w:afterAutospacing="0" w:line="240" w:lineRule="auto"/>
            </w:pPr>
            <w:r>
              <w:t xml:space="preserve"> </w:t>
            </w:r>
            <w:r/>
          </w:p>
        </w:tc>
        <w:tc>
          <w:tcPr>
            <w:tcW w:w="739" w:type="pct"/>
            <w:vAlign w:val="center"/>
            <w:textDirection w:val="lrTb"/>
            <w:noWrap w:val="false"/>
          </w:tcPr>
          <w:p>
            <w:pPr>
              <w:pStyle w:val="686"/>
              <w:ind w:firstLine="0"/>
              <w:jc w:val="both"/>
              <w:spacing w:beforeAutospacing="0" w:afterAutospacing="0" w:line="240" w:lineRule="auto"/>
            </w:pPr>
            <w:r>
              <w:t xml:space="preserve"> </w:t>
            </w:r>
            <w:r/>
          </w:p>
        </w:tc>
        <w:tc>
          <w:tcPr>
            <w:tcW w:w="678" w:type="pct"/>
            <w:vAlign w:val="center"/>
            <w:textDirection w:val="lrTb"/>
            <w:noWrap w:val="false"/>
          </w:tcPr>
          <w:p>
            <w:pPr>
              <w:pStyle w:val="686"/>
              <w:ind w:firstLine="0"/>
              <w:jc w:val="both"/>
              <w:spacing w:beforeAutospacing="0" w:afterAutospacing="0" w:line="240" w:lineRule="auto"/>
            </w:pPr>
            <w:r>
              <w:t xml:space="preserve"> </w:t>
            </w:r>
            <w:r/>
          </w:p>
        </w:tc>
      </w:tr>
      <w:tr>
        <w:trPr>
          <w:tblCellSpacing w:w="0" w:type="dxa"/>
          <w:trHeight w:val="451"/>
        </w:trPr>
        <w:tc>
          <w:tcPr>
            <w:gridSpan w:val="9"/>
            <w:tcW w:w="5000" w:type="pct"/>
            <w:vAlign w:val="center"/>
            <w:textDirection w:val="lrTb"/>
            <w:noWrap w:val="false"/>
          </w:tcPr>
          <w:p>
            <w:pPr>
              <w:pStyle w:val="686"/>
              <w:ind w:firstLine="0"/>
              <w:spacing w:beforeAutospacing="0" w:afterAutospacing="0" w:line="240" w:lineRule="auto"/>
              <w:rPr>
                <w:b/>
                <w:bCs/>
              </w:rPr>
            </w:pPr>
            <w:r>
              <w:rPr>
                <w:rFonts w:hint="eastAsia" w:ascii="宋体" w:hAnsi="宋体" w:eastAsia="宋体" w:cs="宋体"/>
                <w:b/>
                <w:bCs/>
                <w:color w:val="000000"/>
              </w:rPr>
              <w:t xml:space="preserve">投标总报价（人民币大写：</w:t>
            </w:r>
            <w:r>
              <w:rPr>
                <w:rFonts w:hint="eastAsia" w:ascii="宋体" w:hAnsi="宋体" w:eastAsia="宋体" w:cs="宋体"/>
                <w:b/>
                <w:bCs/>
                <w:color w:val="000000"/>
                <w:u w:val="single"/>
              </w:rPr>
              <w:t xml:space="preserve">        小写：     </w:t>
            </w:r>
            <w:r>
              <w:rPr>
                <w:rFonts w:hint="eastAsia" w:ascii="宋体" w:hAnsi="宋体" w:eastAsia="宋体" w:cs="宋体"/>
                <w:b/>
                <w:bCs/>
                <w:color w:val="000000"/>
              </w:rPr>
              <w:t xml:space="preserve">元）</w:t>
            </w:r>
            <w:r/>
          </w:p>
        </w:tc>
      </w:tr>
      <w:tr>
        <w:trPr>
          <w:tblCellSpacing w:w="0" w:type="dxa"/>
          <w:trHeight w:val="661"/>
        </w:trPr>
        <w:tc>
          <w:tcPr>
            <w:gridSpan w:val="9"/>
            <w:tcW w:w="5000" w:type="pct"/>
            <w:vAlign w:val="center"/>
            <w:textDirection w:val="lrTb"/>
            <w:noWrap w:val="false"/>
          </w:tcPr>
          <w:p>
            <w:pPr>
              <w:pStyle w:val="686"/>
              <w:ind w:firstLine="0"/>
              <w:jc w:val="both"/>
              <w:spacing w:beforeAutospacing="0" w:afterAutospacing="0" w:line="240" w:lineRule="auto"/>
              <w:rPr>
                <w:b/>
                <w:bCs/>
              </w:rPr>
            </w:pPr>
            <w:r>
              <w:rPr>
                <w:rFonts w:hint="eastAsia" w:asciiTheme="minorEastAsia" w:hAnsiTheme="minorEastAsia" w:cstheme="minorEastAsia"/>
                <w:b/>
                <w:bCs/>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b/>
                <w:bCs/>
                <w:color w:val="ff0000"/>
                <w:u w:val="single"/>
              </w:rPr>
              <w:t xml:space="preserve">        </w:t>
            </w:r>
            <w:r>
              <w:rPr>
                <w:rFonts w:hint="eastAsia" w:asciiTheme="minorEastAsia" w:hAnsiTheme="minorEastAsia" w:cstheme="minorEastAsia"/>
                <w:b/>
                <w:bCs/>
                <w:color w:val="ff0000"/>
              </w:rPr>
              <w:t xml:space="preserve">%。</w:t>
            </w:r>
            <w:r/>
          </w:p>
        </w:tc>
      </w:tr>
    </w:tbl>
    <w:p>
      <w:pPr>
        <w:pStyle w:val="686"/>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p>
    <w:p>
      <w:pPr>
        <w:pStyle w:val="686"/>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 </w:t>
      </w:r>
      <w:r/>
    </w:p>
    <w:p>
      <w:pPr>
        <w:pStyle w:val="686"/>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 “投标分项报价表”中“投标总报价”数额应当与“开标一览表”中“投标总报价”数额一致。</w:t>
      </w:r>
      <w:r/>
    </w:p>
    <w:p>
      <w:pPr>
        <w:pStyle w:val="686"/>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6"/>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4.如供应商所提供产品为本国产品的，应当对其提供的产品出具《关于符合本国产品标准的声明函》（以下简称《声明函》），不出具《声明函》的，不享受政府采购对本国产品的支持政策。</w:t>
      </w:r>
      <w:r/>
    </w:p>
    <w:p>
      <w:pPr>
        <w:pStyle w:val="686"/>
        <w:jc w:val="center"/>
        <w:spacing w:beforeAutospacing="0" w:afterAutospacing="0"/>
        <w:rPr>
          <w:highlight w:val="none"/>
        </w:rPr>
      </w:pPr>
      <w:r>
        <w:rPr>
          <w:highlight w:val="none"/>
        </w:rPr>
        <w:t xml:space="preserve"> </w:t>
      </w:r>
      <w:r/>
    </w:p>
    <w:p>
      <w:pPr>
        <w:pStyle w:val="848"/>
        <w:jc w:val="right"/>
        <w:rPr>
          <w:szCs w:val="21"/>
        </w:rPr>
      </w:pPr>
      <w:r>
        <w:rPr>
          <w:highlight w:val="none"/>
        </w:rPr>
        <w:t xml:space="preserve"> </w:t>
      </w:r>
      <w:r>
        <w:rPr>
          <w:rFonts w:hint="eastAsia"/>
        </w:rPr>
        <w:t xml:space="preserve">企业名称（加盖CA电子公章）</w:t>
      </w:r>
      <w:r>
        <w:rPr>
          <w:rFonts w:hint="eastAsia"/>
          <w:szCs w:val="21"/>
        </w:rPr>
        <w:t xml:space="preserve">： </w:t>
      </w:r>
      <w:r/>
    </w:p>
    <w:p>
      <w:pPr>
        <w:pStyle w:val="848"/>
        <w:ind w:firstLine="3542"/>
        <w:rPr>
          <w:szCs w:val="21"/>
        </w:rPr>
      </w:pPr>
      <w:r>
        <w:rPr>
          <w:szCs w:val="21"/>
        </w:rPr>
      </w:r>
      <w:r/>
    </w:p>
    <w:p>
      <w:pPr>
        <w:pStyle w:val="848"/>
        <w:ind w:firstLine="3542"/>
      </w:pPr>
      <w:r>
        <w:rPr>
          <w:rFonts w:hint="eastAsia"/>
        </w:rPr>
        <w:t xml:space="preserve">       </w:t>
      </w:r>
      <w:r>
        <w:rPr>
          <w:rFonts w:hint="eastAsia"/>
          <w:lang w:val="en-US" w:eastAsia="zh-CN"/>
        </w:rPr>
        <w:t xml:space="preserve">     </w:t>
      </w:r>
      <w:r>
        <w:rPr>
          <w:rFonts w:hint="eastAsia"/>
        </w:rPr>
        <w:t xml:space="preserve">  年    月    日</w:t>
      </w:r>
      <w:r/>
    </w:p>
    <w:p>
      <w:pPr>
        <w:pStyle w:val="686"/>
        <w:jc w:val="center"/>
        <w:spacing w:beforeAutospacing="0" w:afterAutospacing="0"/>
        <w:rPr>
          <w:highlight w:val="none"/>
        </w:rPr>
      </w:pPr>
      <w:r>
        <w:rPr>
          <w:highlight w:val="none"/>
        </w:rPr>
      </w:r>
      <w:r/>
    </w:p>
    <w:p>
      <w:pPr>
        <w:pStyle w:val="686"/>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86"/>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rPr>
                <w:highlight w:val="none"/>
              </w:rPr>
            </w:pPr>
            <w:r>
              <w:rPr>
                <w:highlight w:val="none"/>
              </w:rPr>
              <w:t xml:space="preserve"> </w:t>
            </w:r>
            <w:r/>
          </w:p>
        </w:tc>
      </w:tr>
    </w:tbl>
    <w:p>
      <w:pPr>
        <w:pStyle w:val="68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highlight w:val="none"/>
        </w:rPr>
      </w:pPr>
      <w:r>
        <w:rPr>
          <w:highlight w:val="none"/>
        </w:rPr>
        <w:t xml:space="preserve"> </w:t>
      </w:r>
      <w:r/>
    </w:p>
    <w:p>
      <w:pPr>
        <w:pStyle w:val="686"/>
        <w:jc w:val="center"/>
        <w:spacing w:beforeAutospacing="0" w:afterAutospacing="0"/>
        <w:rPr>
          <w:rFonts w:hint="eastAsia"/>
          <w:highlight w:val="none"/>
        </w:rPr>
      </w:pPr>
      <w:r>
        <w:rPr>
          <w:rFonts w:hint="eastAsia"/>
          <w:highlight w:val="none"/>
        </w:rPr>
        <w:t xml:space="preserve"> 法定代表人或被授权人（签字或盖章）：</w:t>
      </w:r>
      <w:r/>
    </w:p>
    <w:p>
      <w:pPr>
        <w:pStyle w:val="686"/>
        <w:jc w:val="center"/>
        <w:spacing w:beforeAutospacing="0" w:afterAutospacing="0"/>
        <w:rPr>
          <w:rFonts w:hint="eastAsia"/>
          <w:highlight w:val="none"/>
        </w:rPr>
      </w:pPr>
      <w:r>
        <w:rPr>
          <w:rFonts w:hint="eastAsia"/>
          <w:highlight w:val="none"/>
        </w:rPr>
      </w:r>
      <w:r/>
    </w:p>
    <w:p>
      <w:pPr>
        <w:pStyle w:val="686"/>
        <w:jc w:val="center"/>
        <w:spacing w:beforeAutospacing="0" w:afterAutospacing="0"/>
        <w:rPr>
          <w:highlight w:val="none"/>
        </w:rPr>
      </w:pPr>
      <w:r>
        <w:rPr>
          <w:rFonts w:hint="eastAsia"/>
          <w:highlight w:val="none"/>
        </w:rPr>
        <w:t xml:space="preserve">企业名称（加盖CA电子公章）：</w:t>
      </w:r>
      <w:r>
        <w:rPr>
          <w:highlight w:val="none"/>
        </w:rPr>
        <w:t xml:space="preserve"> </w:t>
      </w:r>
      <w:r/>
    </w:p>
    <w:p>
      <w:pPr>
        <w:pStyle w:val="686"/>
        <w:jc w:val="center"/>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center"/>
        <w:spacing w:beforeAutospacing="0" w:afterAutospacing="0"/>
        <w:rPr>
          <w:highlight w:val="none"/>
        </w:rPr>
      </w:pPr>
      <w:r/>
      <w:bookmarkStart w:id="213"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bookmarkStart w:id="214" w:name="_Hlt26580838"/>
            <w:r/>
            <w:bookmarkStart w:id="215" w:name="_Hlt26609391"/>
            <w:r/>
            <w:bookmarkStart w:id="216" w:name="_Hlt26671372"/>
            <w:r/>
            <w:bookmarkStart w:id="217" w:name="_Hlt24879081"/>
            <w:r/>
            <w:bookmarkStart w:id="218" w:name="_Hlt26955056"/>
            <w:r/>
            <w:bookmarkStart w:id="219" w:name="_Hlt26671343"/>
            <w:r/>
            <w:bookmarkStart w:id="220" w:name="_Hlt26782999"/>
            <w:r/>
            <w:bookmarkStart w:id="221" w:name="_Hlt26955064"/>
            <w:r>
              <w:rPr>
                <w:rFonts w:hint="eastAsia" w:ascii="宋体" w:hAnsi="宋体" w:eastAsia="宋体" w:cs="宋体"/>
                <w:color w:val="000000"/>
                <w:highlight w:val="none"/>
              </w:rPr>
              <w:t xml:space="preserve">序号</w:t>
            </w:r>
            <w:bookmarkEnd w:id="214"/>
            <w:r/>
            <w:bookmarkEnd w:id="215"/>
            <w:r/>
            <w:bookmarkEnd w:id="216"/>
            <w:r/>
            <w:bookmarkEnd w:id="217"/>
            <w:r/>
            <w:bookmarkEnd w:id="218"/>
            <w:r/>
            <w:bookmarkEnd w:id="219"/>
            <w:r/>
            <w:bookmarkEnd w:id="220"/>
            <w:r/>
            <w:bookmarkEnd w:id="22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rPr>
                <w:highlight w:val="none"/>
              </w:rPr>
            </w:pPr>
            <w:r>
              <w:rPr>
                <w:highlight w:val="none"/>
              </w:rPr>
              <w:t xml:space="preserve"> </w:t>
            </w:r>
            <w:r/>
          </w:p>
        </w:tc>
      </w:tr>
    </w:tbl>
    <w:p>
      <w:pPr>
        <w:pStyle w:val="68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6"/>
        <w:jc w:val="both"/>
        <w:spacing w:beforeAutospacing="0" w:afterAutospacing="0" w:line="480" w:lineRule="auto"/>
        <w:rPr>
          <w:highlight w:val="none"/>
        </w:rPr>
      </w:pPr>
      <w:r>
        <w:rPr>
          <w:highlight w:val="none"/>
        </w:rPr>
        <w:t xml:space="preserve"> </w:t>
      </w:r>
      <w:r/>
    </w:p>
    <w:p>
      <w:pPr>
        <w:pStyle w:val="686"/>
        <w:jc w:val="both"/>
        <w:spacing w:beforeAutospacing="0" w:afterAutospacing="0" w:line="480" w:lineRule="auto"/>
        <w:rPr>
          <w:rFonts w:hint="eastAsia"/>
          <w:highlight w:val="none"/>
        </w:rPr>
      </w:pPr>
      <w:r>
        <w:rPr>
          <w:highlight w:val="none"/>
        </w:rPr>
        <w:t xml:space="preserve"> </w:t>
      </w:r>
      <w:r>
        <w:rPr>
          <w:rFonts w:hint="eastAsia"/>
          <w:highlight w:val="none"/>
        </w:rPr>
        <w:t xml:space="preserve"> 法定代表人或被授权人（签字或盖章）：</w:t>
      </w:r>
      <w:r/>
    </w:p>
    <w:p>
      <w:pPr>
        <w:pStyle w:val="686"/>
        <w:jc w:val="both"/>
        <w:spacing w:beforeAutospacing="0" w:afterAutospacing="0" w:line="480" w:lineRule="auto"/>
        <w:rPr>
          <w:rFonts w:hint="eastAsia"/>
          <w:highlight w:val="none"/>
        </w:rPr>
      </w:pPr>
      <w:r>
        <w:rPr>
          <w:rFonts w:hint="eastAsia"/>
          <w:highlight w:val="none"/>
        </w:rPr>
      </w:r>
      <w:r/>
    </w:p>
    <w:p>
      <w:pPr>
        <w:pStyle w:val="686"/>
        <w:ind w:firstLine="240"/>
        <w:jc w:val="both"/>
        <w:spacing w:beforeAutospacing="0" w:afterAutospacing="0" w:line="480" w:lineRule="auto"/>
        <w:rPr>
          <w:highlight w:val="none"/>
        </w:rPr>
      </w:pPr>
      <w:r>
        <w:rPr>
          <w:rFonts w:hint="eastAsia"/>
          <w:highlight w:val="none"/>
        </w:rPr>
        <w:t xml:space="preserve">企业名称（加盖CA电子公章）：</w:t>
      </w:r>
      <w:r/>
    </w:p>
    <w:p>
      <w:pPr>
        <w:pStyle w:val="686"/>
        <w:jc w:val="center"/>
        <w:spacing w:beforeAutospacing="0" w:afterAutospacing="0"/>
        <w:rPr>
          <w:highlight w:val="none"/>
        </w:rPr>
      </w:pPr>
      <w:r/>
      <w:bookmarkStart w:id="222" w:name="_格式2__法定代表人授权书"/>
      <w:r/>
      <w:bookmarkStart w:id="223" w:name="_Hlt26609389"/>
      <w:r/>
      <w:bookmarkStart w:id="224" w:name="_Hlt26671374"/>
      <w:r/>
      <w:bookmarkStart w:id="225" w:name="_Hlt26955066"/>
      <w:r/>
      <w:bookmarkStart w:id="226" w:name="_Toc462564146"/>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t xml:space="preserve"> </w:t>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highlight w:val="none"/>
        </w:rPr>
      </w:pPr>
      <w:r>
        <w:rPr>
          <w:highlight w:val="none"/>
        </w:rPr>
      </w:r>
      <w:r/>
    </w:p>
    <w:p>
      <w:pPr>
        <w:pStyle w:val="686"/>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8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6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核心产品品牌：</w:t>
            </w:r>
            <w:r/>
          </w:p>
        </w:tc>
      </w:tr>
    </w:tbl>
    <w:p>
      <w:pPr>
        <w:pStyle w:val="686"/>
        <w:jc w:val="both"/>
        <w:spacing w:beforeAutospacing="0" w:afterAutospacing="0"/>
        <w:rPr>
          <w:color w:val="auto"/>
          <w:highlight w:val="none"/>
        </w:rPr>
      </w:pPr>
      <w:r>
        <w:rPr>
          <w:color w:val="auto"/>
          <w:highlight w:val="none"/>
        </w:rPr>
        <w:t xml:space="preserve"> </w:t>
      </w:r>
      <w:r/>
    </w:p>
    <w:p>
      <w:pPr>
        <w:pStyle w:val="68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6"/>
        <w:ind w:firstLine="480"/>
        <w:jc w:val="both"/>
        <w:spacing w:beforeAutospacing="0" w:afterAutospacing="0"/>
        <w:rPr>
          <w:highlight w:val="none"/>
        </w:rPr>
      </w:pPr>
      <w:r>
        <w:rPr>
          <w:highlight w:val="none"/>
        </w:rPr>
        <w:t xml:space="preserve"> </w:t>
      </w:r>
      <w:r/>
    </w:p>
    <w:p>
      <w:pPr>
        <w:pStyle w:val="686"/>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6"/>
        <w:ind w:firstLine="480"/>
        <w:jc w:val="both"/>
        <w:spacing w:beforeAutospacing="0" w:afterAutospacing="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填写说明：</w:t>
      </w:r>
      <w:r/>
    </w:p>
    <w:p>
      <w:pPr>
        <w:pStyle w:val="686"/>
        <w:ind w:firstLine="480"/>
        <w:jc w:val="both"/>
        <w:spacing w:beforeAutospacing="0" w:afterAutospacing="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开标一览表按软件系统给定格式填写签章，不得填报选择性报价，否则将作为无效投标。</w:t>
      </w:r>
      <w:r/>
    </w:p>
    <w:p>
      <w:pPr>
        <w:pStyle w:val="686"/>
        <w:ind w:firstLine="480"/>
        <w:jc w:val="both"/>
        <w:spacing w:beforeAutospacing="0" w:afterAutospacing="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投标报价保留两位小数。</w:t>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63"/>
        <w:rPr>
          <w:highlight w:val="none"/>
        </w:rPr>
      </w:pPr>
      <w:r>
        <w:rPr>
          <w:highlight w:val="none"/>
        </w:rPr>
      </w:r>
      <w:r/>
    </w:p>
    <w:p>
      <w:pPr>
        <w:pStyle w:val="663"/>
        <w:rPr>
          <w:highlight w:val="none"/>
        </w:rPr>
      </w:pPr>
      <w:r>
        <w:rPr>
          <w:highlight w:val="none"/>
        </w:rPr>
      </w:r>
      <w:r/>
    </w:p>
    <w:p>
      <w:pPr>
        <w:pStyle w:val="663"/>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6"/>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pStyle w:val="686"/>
        <w:jc w:val="center"/>
        <w:spacing w:beforeAutospacing="0" w:afterAutospacing="0"/>
        <w:rPr>
          <w:rFonts w:hint="eastAsia"/>
          <w:highlight w:val="none"/>
        </w:rPr>
      </w:pPr>
      <w:r>
        <w:rPr>
          <w:rFonts w:hint="eastAsia"/>
          <w:highlight w:val="none"/>
        </w:rPr>
        <w:t xml:space="preserve">企业名称（加盖CA电子公章）：</w:t>
      </w:r>
      <w:r/>
    </w:p>
    <w:p>
      <w:pPr>
        <w:pStyle w:val="686"/>
        <w:jc w:val="center"/>
        <w:spacing w:beforeAutospacing="0" w:afterAutospacing="0"/>
        <w:rPr>
          <w:rFonts w:hint="eastAsia"/>
          <w:highlight w:val="none"/>
        </w:rPr>
      </w:pPr>
      <w:r>
        <w:rPr>
          <w:rFonts w:hint="eastAsia"/>
          <w:highlight w:val="none"/>
        </w:rPr>
        <w:t xml:space="preserve">                         </w:t>
      </w:r>
      <w:r/>
    </w:p>
    <w:p>
      <w:pPr>
        <w:pStyle w:val="686"/>
        <w:jc w:val="center"/>
        <w:spacing w:beforeAutospacing="0" w:afterAutospacing="0"/>
        <w:rPr>
          <w:highlight w:val="none"/>
        </w:rPr>
      </w:pPr>
      <w:r>
        <w:rPr>
          <w:rFonts w:hint="eastAsia"/>
          <w:highlight w:val="none"/>
        </w:rPr>
        <w:t xml:space="preserve">年   月    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96"/>
      <w:r/>
      <w:bookmarkEnd w:id="206"/>
      <w:r/>
      <w:bookmarkEnd w:id="207"/>
      <w:r/>
      <w:bookmarkEnd w:id="209"/>
      <w:r/>
      <w:bookmarkEnd w:id="210"/>
      <w:r/>
      <w:bookmarkEnd w:id="211"/>
      <w:r/>
      <w:bookmarkEnd w:id="213"/>
      <w:r/>
      <w:bookmarkEnd w:id="222"/>
      <w:r/>
      <w:bookmarkEnd w:id="223"/>
      <w:r/>
      <w:bookmarkEnd w:id="224"/>
      <w:r/>
      <w:bookmarkEnd w:id="225"/>
      <w:r/>
      <w:bookmarkEnd w:id="226"/>
      <w:r/>
      <w:r/>
    </w:p>
    <w:p>
      <w:pPr>
        <w:rPr>
          <w:highlight w:val="none"/>
        </w:rPr>
      </w:pPr>
      <w:r>
        <w:rPr>
          <w:highlight w:val="none"/>
        </w:rPr>
      </w:r>
      <w:r/>
    </w:p>
    <w:p>
      <w:pPr>
        <w:pStyle w:val="68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6"/>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8"/>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next w:val="66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2">
    <w:name w:val="Heading 1"/>
    <w:basedOn w:val="651"/>
    <w:next w:val="65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53">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4">
    <w:name w:val="Heading 3"/>
    <w:basedOn w:val="651"/>
    <w:next w:val="651"/>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655">
    <w:name w:val="Heading 4"/>
    <w:basedOn w:val="651"/>
    <w:next w:val="651"/>
    <w:link w:val="697"/>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8"/>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9"/>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701"/>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2"/>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customStyle="1">
    <w:name w:val="Default"/>
    <w:basedOn w:val="651"/>
    <w:uiPriority w:val="0"/>
    <w:semiHidden/>
    <w:qFormat/>
    <w:pPr>
      <w:jc w:val="left"/>
    </w:pPr>
    <w:rPr>
      <w:rFonts w:ascii="宋体" w:hAnsi="Calibri" w:cs="宋体"/>
      <w:color w:val="000000"/>
      <w:sz w:val="24"/>
    </w:rPr>
  </w:style>
  <w:style w:type="paragraph" w:styleId="664">
    <w:name w:val="toc 7"/>
    <w:basedOn w:val="651"/>
    <w:next w:val="651"/>
    <w:uiPriority w:val="39"/>
    <w:unhideWhenUsed/>
    <w:qFormat/>
    <w:pPr>
      <w:ind w:left="1701" w:right="0" w:firstLine="0"/>
      <w:spacing w:after="57"/>
    </w:pPr>
  </w:style>
  <w:style w:type="paragraph" w:styleId="665">
    <w:name w:val="Normal Indent"/>
    <w:basedOn w:val="651"/>
    <w:uiPriority w:val="0"/>
    <w:qFormat/>
    <w:pPr>
      <w:ind w:firstLine="420"/>
    </w:pPr>
  </w:style>
  <w:style w:type="paragraph" w:styleId="666">
    <w:name w:val="Caption"/>
    <w:basedOn w:val="651"/>
    <w:next w:val="6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51"/>
    <w:uiPriority w:val="0"/>
    <w:qFormat/>
    <w:pPr>
      <w:jc w:val="left"/>
    </w:pPr>
  </w:style>
  <w:style w:type="paragraph" w:styleId="668">
    <w:name w:val="Body Text"/>
    <w:basedOn w:val="651"/>
    <w:uiPriority w:val="0"/>
    <w:semiHidden/>
    <w:qFormat/>
    <w:rPr>
      <w:rFonts w:ascii="仿宋" w:hAnsi="仿宋" w:eastAsia="仿宋" w:cs="仿宋"/>
      <w:sz w:val="31"/>
      <w:szCs w:val="31"/>
      <w:lang w:val="en-US" w:eastAsia="en-US" w:bidi="ar-SA"/>
    </w:rPr>
  </w:style>
  <w:style w:type="paragraph" w:styleId="669">
    <w:name w:val="Block Text"/>
    <w:basedOn w:val="651"/>
    <w:uiPriority w:val="99"/>
    <w:unhideWhenUsed/>
    <w:qFormat/>
    <w:pPr>
      <w:ind w:left="1440" w:right="1440"/>
      <w:spacing w:after="120"/>
    </w:pPr>
  </w:style>
  <w:style w:type="paragraph" w:styleId="670">
    <w:name w:val="toc 5"/>
    <w:basedOn w:val="651"/>
    <w:next w:val="651"/>
    <w:uiPriority w:val="39"/>
    <w:unhideWhenUsed/>
    <w:qFormat/>
    <w:pPr>
      <w:ind w:left="1134" w:right="0" w:firstLine="0"/>
      <w:spacing w:after="57"/>
    </w:pPr>
  </w:style>
  <w:style w:type="paragraph" w:styleId="671">
    <w:name w:val="toc 3"/>
    <w:basedOn w:val="651"/>
    <w:next w:val="651"/>
    <w:uiPriority w:val="39"/>
    <w:unhideWhenUsed/>
    <w:qFormat/>
    <w:pPr>
      <w:ind w:left="567" w:right="0" w:firstLine="0"/>
      <w:spacing w:after="57"/>
    </w:pPr>
  </w:style>
  <w:style w:type="paragraph" w:styleId="672">
    <w:name w:val="Plain Text"/>
    <w:basedOn w:val="651"/>
    <w:uiPriority w:val="0"/>
    <w:unhideWhenUsed/>
    <w:qFormat/>
    <w:rPr>
      <w:rFonts w:ascii="宋体" w:hAnsi="Courier New" w:cs="Courier New"/>
      <w:szCs w:val="21"/>
    </w:rPr>
  </w:style>
  <w:style w:type="paragraph" w:styleId="673">
    <w:name w:val="toc 8"/>
    <w:basedOn w:val="651"/>
    <w:next w:val="651"/>
    <w:uiPriority w:val="39"/>
    <w:unhideWhenUsed/>
    <w:qFormat/>
    <w:pPr>
      <w:ind w:left="1984" w:right="0" w:firstLine="0"/>
      <w:spacing w:after="57"/>
    </w:pPr>
  </w:style>
  <w:style w:type="paragraph" w:styleId="674">
    <w:name w:val="endnote text"/>
    <w:basedOn w:val="651"/>
    <w:link w:val="840"/>
    <w:uiPriority w:val="99"/>
    <w:semiHidden/>
    <w:unhideWhenUsed/>
    <w:qFormat/>
    <w:pPr>
      <w:spacing w:after="0" w:line="240" w:lineRule="auto"/>
    </w:pPr>
    <w:rPr>
      <w:sz w:val="20"/>
    </w:rPr>
  </w:style>
  <w:style w:type="paragraph" w:styleId="675">
    <w:name w:val="Footer"/>
    <w:basedOn w:val="651"/>
    <w:link w:val="843"/>
    <w:uiPriority w:val="0"/>
    <w:qFormat/>
    <w:pPr>
      <w:jc w:val="left"/>
      <w:tabs>
        <w:tab w:val="center" w:pos="4153" w:leader="none"/>
        <w:tab w:val="right" w:pos="8306" w:leader="none"/>
      </w:tabs>
    </w:pPr>
    <w:rPr>
      <w:sz w:val="18"/>
      <w:szCs w:val="18"/>
    </w:rPr>
  </w:style>
  <w:style w:type="paragraph" w:styleId="676">
    <w:name w:val="Header"/>
    <w:basedOn w:val="651"/>
    <w:link w:val="842"/>
    <w:uiPriority w:val="0"/>
    <w:qFormat/>
    <w:pPr>
      <w:jc w:val="center"/>
      <w:tabs>
        <w:tab w:val="center" w:pos="4153" w:leader="none"/>
        <w:tab w:val="right" w:pos="8306" w:leader="none"/>
      </w:tabs>
      <w:pBdr>
        <w:bottom w:val="single" w:color="auto" w:sz="6" w:space="1"/>
      </w:pBdr>
    </w:pPr>
    <w:rPr>
      <w:sz w:val="18"/>
      <w:szCs w:val="18"/>
    </w:rPr>
  </w:style>
  <w:style w:type="paragraph" w:styleId="677">
    <w:name w:val="toc 1"/>
    <w:basedOn w:val="651"/>
    <w:next w:val="651"/>
    <w:uiPriority w:val="39"/>
    <w:unhideWhenUsed/>
    <w:qFormat/>
    <w:pPr>
      <w:ind w:left="0" w:right="0" w:firstLine="0"/>
      <w:spacing w:after="57"/>
    </w:pPr>
  </w:style>
  <w:style w:type="paragraph" w:styleId="678">
    <w:name w:val="toc 4"/>
    <w:basedOn w:val="651"/>
    <w:next w:val="651"/>
    <w:uiPriority w:val="39"/>
    <w:unhideWhenUsed/>
    <w:qFormat/>
    <w:pPr>
      <w:ind w:left="850" w:right="0" w:firstLine="0"/>
      <w:spacing w:after="57"/>
    </w:pPr>
  </w:style>
  <w:style w:type="paragraph" w:styleId="679">
    <w:name w:val="Subtitle"/>
    <w:basedOn w:val="651"/>
    <w:next w:val="651"/>
    <w:uiPriority w:val="11"/>
    <w:qFormat/>
    <w:pPr>
      <w:spacing w:before="240" w:after="60" w:line="312" w:lineRule="auto"/>
      <w:outlineLvl w:val="1"/>
    </w:pPr>
    <w:rPr>
      <w:b/>
      <w:bCs/>
      <w:sz w:val="32"/>
      <w:szCs w:val="32"/>
    </w:rPr>
  </w:style>
  <w:style w:type="paragraph" w:styleId="680">
    <w:name w:val="footnote text"/>
    <w:basedOn w:val="651"/>
    <w:link w:val="839"/>
    <w:uiPriority w:val="99"/>
    <w:semiHidden/>
    <w:unhideWhenUsed/>
    <w:qFormat/>
    <w:pPr>
      <w:spacing w:after="40" w:line="240" w:lineRule="auto"/>
    </w:pPr>
    <w:rPr>
      <w:sz w:val="18"/>
    </w:rPr>
  </w:style>
  <w:style w:type="paragraph" w:styleId="681">
    <w:name w:val="toc 6"/>
    <w:basedOn w:val="651"/>
    <w:next w:val="651"/>
    <w:uiPriority w:val="39"/>
    <w:unhideWhenUsed/>
    <w:qFormat/>
    <w:pPr>
      <w:ind w:left="1417" w:right="0" w:firstLine="0"/>
      <w:spacing w:after="57"/>
    </w:pPr>
  </w:style>
  <w:style w:type="paragraph" w:styleId="682">
    <w:name w:val="index 9"/>
    <w:basedOn w:val="651"/>
    <w:next w:val="651"/>
    <w:uiPriority w:val="0"/>
    <w:qFormat/>
    <w:pPr>
      <w:ind w:left="1600" w:firstLine="0"/>
      <w:jc w:val="both"/>
      <w:spacing w:line="240" w:lineRule="auto"/>
    </w:pPr>
    <w:rPr>
      <w:rFonts w:ascii="Times New Roman" w:hAnsi="Times New Roman" w:eastAsia="宋体" w:cs="Times New Roman"/>
      <w:sz w:val="21"/>
    </w:rPr>
  </w:style>
  <w:style w:type="paragraph" w:styleId="683">
    <w:name w:val="table of figures"/>
    <w:basedOn w:val="651"/>
    <w:next w:val="651"/>
    <w:uiPriority w:val="99"/>
    <w:unhideWhenUsed/>
    <w:qFormat/>
    <w:pPr>
      <w:spacing w:after="0" w:afterAutospacing="0"/>
    </w:pPr>
  </w:style>
  <w:style w:type="paragraph" w:styleId="684">
    <w:name w:val="toc 2"/>
    <w:basedOn w:val="651"/>
    <w:next w:val="651"/>
    <w:uiPriority w:val="39"/>
    <w:unhideWhenUsed/>
    <w:qFormat/>
    <w:pPr>
      <w:ind w:left="283" w:right="0" w:firstLine="0"/>
      <w:spacing w:after="57"/>
    </w:pPr>
  </w:style>
  <w:style w:type="paragraph" w:styleId="685">
    <w:name w:val="toc 9"/>
    <w:basedOn w:val="651"/>
    <w:next w:val="651"/>
    <w:uiPriority w:val="39"/>
    <w:unhideWhenUsed/>
    <w:qFormat/>
    <w:pPr>
      <w:ind w:left="2268" w:right="0" w:firstLine="0"/>
      <w:spacing w:after="57"/>
    </w:pPr>
  </w:style>
  <w:style w:type="paragraph" w:styleId="686">
    <w:name w:val="Normal (Web)"/>
    <w:basedOn w:val="651"/>
    <w:uiPriority w:val="0"/>
    <w:qFormat/>
    <w:pPr>
      <w:jc w:val="left"/>
      <w:spacing w:beforeAutospacing="1" w:afterAutospacing="1"/>
    </w:pPr>
    <w:rPr>
      <w:rFonts w:cs="Times New Roman"/>
      <w:sz w:val="24"/>
    </w:rPr>
  </w:style>
  <w:style w:type="paragraph" w:styleId="687">
    <w:name w:val="Title"/>
    <w:basedOn w:val="651"/>
    <w:next w:val="651"/>
    <w:link w:val="705"/>
    <w:uiPriority w:val="10"/>
    <w:qFormat/>
    <w:pPr>
      <w:contextualSpacing/>
      <w:spacing w:before="300" w:after="200"/>
    </w:pPr>
    <w:rPr>
      <w:sz w:val="48"/>
      <w:szCs w:val="48"/>
    </w:rPr>
  </w:style>
  <w:style w:type="table" w:styleId="688">
    <w:name w:val="Table Grid"/>
    <w:basedOn w:val="6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9">
    <w:name w:val="Strong"/>
    <w:basedOn w:val="661"/>
    <w:uiPriority w:val="0"/>
    <w:qFormat/>
    <w:rPr>
      <w:b/>
    </w:rPr>
  </w:style>
  <w:style w:type="character" w:styleId="690">
    <w:name w:val="endnote reference"/>
    <w:basedOn w:val="661"/>
    <w:uiPriority w:val="99"/>
    <w:semiHidden/>
    <w:unhideWhenUsed/>
    <w:qFormat/>
    <w:rPr>
      <w:vertAlign w:val="superscript"/>
    </w:rPr>
  </w:style>
  <w:style w:type="character" w:styleId="691">
    <w:name w:val="Emphasis"/>
    <w:uiPriority w:val="0"/>
    <w:qFormat/>
    <w:rPr>
      <w:i/>
    </w:rPr>
  </w:style>
  <w:style w:type="character" w:styleId="692">
    <w:name w:val="Hyperlink"/>
    <w:uiPriority w:val="99"/>
    <w:unhideWhenUsed/>
    <w:qFormat/>
    <w:rPr>
      <w:color w:val="0563c1" w:themeColor="hyperlink"/>
      <w:u w:val="single"/>
      <w14:textFill>
        <w14:solidFill>
          <w14:schemeClr w14:val="hlink"/>
        </w14:solidFill>
      </w14:textFill>
    </w:rPr>
  </w:style>
  <w:style w:type="character" w:styleId="693">
    <w:name w:val="footnote reference"/>
    <w:basedOn w:val="661"/>
    <w:uiPriority w:val="99"/>
    <w:unhideWhenUsed/>
    <w:qFormat/>
    <w:rPr>
      <w:vertAlign w:val="superscript"/>
    </w:rPr>
  </w:style>
  <w:style w:type="character" w:styleId="694" w:customStyle="1">
    <w:name w:val="Heading 1 Char"/>
    <w:basedOn w:val="661"/>
    <w:uiPriority w:val="9"/>
    <w:qFormat/>
    <w:rPr>
      <w:rFonts w:ascii="Arial" w:hAnsi="Arial" w:eastAsia="Arial" w:cs="Arial"/>
      <w:sz w:val="40"/>
      <w:szCs w:val="40"/>
    </w:rPr>
  </w:style>
  <w:style w:type="character" w:styleId="695" w:customStyle="1">
    <w:name w:val="Heading 2 Char"/>
    <w:basedOn w:val="661"/>
    <w:uiPriority w:val="9"/>
    <w:qFormat/>
    <w:rPr>
      <w:rFonts w:ascii="Arial" w:hAnsi="Arial" w:eastAsia="Arial" w:cs="Arial"/>
      <w:sz w:val="34"/>
    </w:rPr>
  </w:style>
  <w:style w:type="character" w:styleId="696" w:customStyle="1">
    <w:name w:val="Heading 3 Char"/>
    <w:basedOn w:val="661"/>
    <w:uiPriority w:val="9"/>
    <w:qFormat/>
    <w:rPr>
      <w:rFonts w:ascii="Arial" w:hAnsi="Arial" w:eastAsia="Arial" w:cs="Arial"/>
      <w:sz w:val="30"/>
      <w:szCs w:val="30"/>
    </w:rPr>
  </w:style>
  <w:style w:type="character" w:styleId="697" w:customStyle="1">
    <w:name w:val="Heading 4 Char"/>
    <w:basedOn w:val="661"/>
    <w:link w:val="655"/>
    <w:uiPriority w:val="9"/>
    <w:qFormat/>
    <w:rPr>
      <w:rFonts w:ascii="Arial" w:hAnsi="Arial" w:eastAsia="Arial" w:cs="Arial"/>
      <w:b/>
      <w:bCs/>
      <w:sz w:val="26"/>
      <w:szCs w:val="26"/>
    </w:rPr>
  </w:style>
  <w:style w:type="character" w:styleId="698" w:customStyle="1">
    <w:name w:val="Heading 5 Char"/>
    <w:basedOn w:val="661"/>
    <w:link w:val="656"/>
    <w:uiPriority w:val="9"/>
    <w:qFormat/>
    <w:rPr>
      <w:rFonts w:ascii="Arial" w:hAnsi="Arial" w:eastAsia="Arial" w:cs="Arial"/>
      <w:b/>
      <w:bCs/>
      <w:sz w:val="24"/>
      <w:szCs w:val="24"/>
    </w:rPr>
  </w:style>
  <w:style w:type="character" w:styleId="699" w:customStyle="1">
    <w:name w:val="Heading 6 Char"/>
    <w:basedOn w:val="661"/>
    <w:link w:val="657"/>
    <w:uiPriority w:val="9"/>
    <w:qFormat/>
    <w:rPr>
      <w:rFonts w:ascii="Arial" w:hAnsi="Arial" w:eastAsia="Arial" w:cs="Arial"/>
      <w:b/>
      <w:bCs/>
      <w:sz w:val="22"/>
      <w:szCs w:val="22"/>
    </w:rPr>
  </w:style>
  <w:style w:type="character" w:styleId="700" w:customStyle="1">
    <w:name w:val="Heading 7 Char"/>
    <w:basedOn w:val="661"/>
    <w:link w:val="658"/>
    <w:uiPriority w:val="9"/>
    <w:qFormat/>
    <w:rPr>
      <w:rFonts w:ascii="Arial" w:hAnsi="Arial" w:eastAsia="Arial" w:cs="Arial"/>
      <w:b/>
      <w:bCs/>
      <w:i/>
      <w:iCs/>
      <w:sz w:val="22"/>
      <w:szCs w:val="22"/>
    </w:rPr>
  </w:style>
  <w:style w:type="character" w:styleId="701" w:customStyle="1">
    <w:name w:val="Heading 8 Char"/>
    <w:basedOn w:val="661"/>
    <w:link w:val="659"/>
    <w:uiPriority w:val="9"/>
    <w:qFormat/>
    <w:rPr>
      <w:rFonts w:ascii="Arial" w:hAnsi="Arial" w:eastAsia="Arial" w:cs="Arial"/>
      <w:i/>
      <w:iCs/>
      <w:sz w:val="22"/>
      <w:szCs w:val="22"/>
    </w:rPr>
  </w:style>
  <w:style w:type="character" w:styleId="702" w:customStyle="1">
    <w:name w:val="Heading 9 Char"/>
    <w:basedOn w:val="661"/>
    <w:link w:val="660"/>
    <w:uiPriority w:val="9"/>
    <w:qFormat/>
    <w:rPr>
      <w:rFonts w:ascii="Arial" w:hAnsi="Arial" w:eastAsia="Arial" w:cs="Arial"/>
      <w:i/>
      <w:iCs/>
      <w:sz w:val="21"/>
      <w:szCs w:val="21"/>
    </w:rPr>
  </w:style>
  <w:style w:type="paragraph" w:styleId="703">
    <w:name w:val="List Paragraph"/>
    <w:basedOn w:val="651"/>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basedOn w:val="661"/>
    <w:link w:val="687"/>
    <w:uiPriority w:val="10"/>
    <w:qFormat/>
    <w:rPr>
      <w:sz w:val="48"/>
      <w:szCs w:val="48"/>
    </w:rPr>
  </w:style>
  <w:style w:type="character" w:styleId="706" w:customStyle="1">
    <w:name w:val="Subtitle Char"/>
    <w:basedOn w:val="661"/>
    <w:uiPriority w:val="11"/>
    <w:qFormat/>
    <w:rPr>
      <w:sz w:val="24"/>
      <w:szCs w:val="24"/>
    </w:rPr>
  </w:style>
  <w:style w:type="paragraph" w:styleId="707">
    <w:name w:val="Quote"/>
    <w:basedOn w:val="651"/>
    <w:next w:val="651"/>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1"/>
    <w:next w:val="65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basedOn w:val="661"/>
    <w:uiPriority w:val="99"/>
    <w:qFormat/>
  </w:style>
  <w:style w:type="character" w:styleId="712" w:customStyle="1">
    <w:name w:val="Footer Char"/>
    <w:basedOn w:val="661"/>
    <w:uiPriority w:val="99"/>
    <w:qFormat/>
  </w:style>
  <w:style w:type="character" w:styleId="713" w:customStyle="1">
    <w:name w:val="Caption Char"/>
    <w:uiPriority w:val="99"/>
    <w:qFormat/>
  </w:style>
  <w:style w:type="table" w:styleId="714"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4"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3" w:customStyle="1">
    <w:name w:val="Grid Table 4 - Accent 2"/>
    <w:basedOn w:val="6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4" w:customStyle="1">
    <w:name w:val="Grid Table 4 - Accent 3"/>
    <w:basedOn w:val="6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5" w:customStyle="1">
    <w:name w:val="Grid Table 4 - Accent 4"/>
    <w:basedOn w:val="6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6" w:customStyle="1">
    <w:name w:val="Grid Table 4 - Accent 5"/>
    <w:basedOn w:val="6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7" w:customStyle="1">
    <w:name w:val="Grid Table 4 - Accent 6"/>
    <w:basedOn w:val="6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8"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0"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1"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2"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3"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4"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5"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basedOn w:val="6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7" w:customStyle="1">
    <w:name w:val="Grid Table 6 Colorful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8" w:customStyle="1">
    <w:name w:val="Grid Table 6 Colorful - Accent 3"/>
    <w:basedOn w:val="6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9" w:customStyle="1">
    <w:name w:val="Grid Table 6 Colorful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0" w:customStyle="1">
    <w:name w:val="Grid Table 6 Colorful - Accent 5"/>
    <w:basedOn w:val="6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1" w:customStyle="1">
    <w:name w:val="Grid Table 6 Colorful - Accent 6"/>
    <w:basedOn w:val="6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2"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basedOn w:val="6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8" w:customStyle="1">
    <w:name w:val="List Table 2 - Accent 2"/>
    <w:basedOn w:val="6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9" w:customStyle="1">
    <w:name w:val="List Table 2 - Accent 3"/>
    <w:basedOn w:val="6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0" w:customStyle="1">
    <w:name w:val="List Table 2 - Accent 4"/>
    <w:basedOn w:val="6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1" w:customStyle="1">
    <w:name w:val="List Table 2 - Accent 5"/>
    <w:basedOn w:val="6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2" w:customStyle="1">
    <w:name w:val="List Table 2 - Accent 6"/>
    <w:basedOn w:val="6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3"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3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0"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4 - Accent 2"/>
    <w:basedOn w:val="6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3" w:customStyle="1">
    <w:name w:val="List Table 4 - Accent 3"/>
    <w:basedOn w:val="6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4" w:customStyle="1">
    <w:name w:val="List Table 4 - Accent 4"/>
    <w:basedOn w:val="6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5" w:customStyle="1">
    <w:name w:val="List Table 4 - Accent 5"/>
    <w:basedOn w:val="6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6" w:customStyle="1">
    <w:name w:val="List Table 4 - Accent 6"/>
    <w:basedOn w:val="6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7"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basedOn w:val="6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basedOn w:val="6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basedOn w:val="6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basedOn w:val="6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basedOn w:val="6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basedOn w:val="6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basedOn w:val="6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6" w:customStyle="1">
    <w:name w:val="List Table 6 Colorful - Accent 2"/>
    <w:basedOn w:val="6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7" w:customStyle="1">
    <w:name w:val="List Table 6 Colorful - Accent 3"/>
    <w:basedOn w:val="6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8" w:customStyle="1">
    <w:name w:val="List Table 6 Colorful - Accent 4"/>
    <w:basedOn w:val="6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9" w:customStyle="1">
    <w:name w:val="List Table 6 Colorful - Accent 5"/>
    <w:basedOn w:val="66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0" w:customStyle="1">
    <w:name w:val="List Table 6 Colorful - Accent 6"/>
    <w:basedOn w:val="6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1"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0"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1"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3"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basedOn w:val="6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7" w:customStyle="1">
    <w:name w:val="Bordered &amp; Lined - Accent 2"/>
    <w:basedOn w:val="6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8" w:customStyle="1">
    <w:name w:val="Bordered &amp; Lined - Accent 3"/>
    <w:basedOn w:val="6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Bordered &amp; Lined - Accent 4"/>
    <w:basedOn w:val="6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0" w:customStyle="1">
    <w:name w:val="Bordered &amp; Lined - Accent 5"/>
    <w:basedOn w:val="6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Bordered &amp; Lined - Accent 6"/>
    <w:basedOn w:val="6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4" w:customStyle="1">
    <w:name w:val="Bordered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5" w:customStyle="1">
    <w:name w:val="Bordered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6" w:customStyle="1">
    <w:name w:val="Bordered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7" w:customStyle="1">
    <w:name w:val="Bordered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8" w:customStyle="1">
    <w:name w:val="Bordered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9" w:customStyle="1">
    <w:name w:val="Footnote Text Char"/>
    <w:link w:val="680"/>
    <w:uiPriority w:val="99"/>
    <w:qFormat/>
    <w:rPr>
      <w:sz w:val="18"/>
    </w:rPr>
  </w:style>
  <w:style w:type="character" w:styleId="840" w:customStyle="1">
    <w:name w:val="Endnote Text Char"/>
    <w:link w:val="674"/>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character" w:styleId="842" w:customStyle="1">
    <w:name w:val="页眉 Char"/>
    <w:basedOn w:val="661"/>
    <w:link w:val="676"/>
    <w:uiPriority w:val="0"/>
    <w:qFormat/>
    <w:rPr>
      <w:rFonts w:asciiTheme="minorHAnsi" w:hAnsiTheme="minorHAnsi" w:eastAsiaTheme="minorEastAsia" w:cstheme="minorBidi"/>
      <w:sz w:val="18"/>
      <w:szCs w:val="18"/>
    </w:rPr>
  </w:style>
  <w:style w:type="character" w:styleId="843" w:customStyle="1">
    <w:name w:val="页脚 Char"/>
    <w:basedOn w:val="661"/>
    <w:link w:val="675"/>
    <w:uiPriority w:val="0"/>
    <w:qFormat/>
    <w:rPr>
      <w:rFonts w:asciiTheme="minorHAnsi" w:hAnsiTheme="minorHAnsi" w:eastAsiaTheme="minorEastAsia" w:cstheme="minorBidi"/>
      <w:sz w:val="18"/>
      <w:szCs w:val="18"/>
    </w:rPr>
  </w:style>
  <w:style w:type="paragraph" w:styleId="844"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845" w:customStyle="1">
    <w:name w:val="正文首行缩进 21"/>
    <w:basedOn w:val="846"/>
    <w:uiPriority w:val="0"/>
    <w:qFormat/>
    <w:pPr>
      <w:ind w:firstLine="420"/>
    </w:pPr>
  </w:style>
  <w:style w:type="paragraph" w:styleId="846" w:customStyle="1">
    <w:name w:val="正文文本缩进1"/>
    <w:basedOn w:val="651"/>
    <w:uiPriority w:val="0"/>
    <w:qFormat/>
    <w:pPr>
      <w:ind w:left="420"/>
      <w:spacing w:after="120"/>
    </w:pPr>
  </w:style>
  <w:style w:type="paragraph" w:styleId="847" w:customStyle="1">
    <w:name w:val="普通(网站)1"/>
    <w:basedOn w:val="651"/>
    <w:uiPriority w:val="0"/>
    <w:qFormat/>
    <w:pPr>
      <w:jc w:val="left"/>
      <w:spacing w:beforeAutospacing="1" w:afterAutospacing="1"/>
    </w:pPr>
    <w:rPr>
      <w:rFonts w:cs="Times New Roman"/>
      <w:sz w:val="24"/>
    </w:rPr>
  </w:style>
  <w:style w:type="paragraph" w:styleId="848" w:customStyle="1">
    <w:name w:val="222"/>
    <w:basedOn w:val="651"/>
    <w:uiPriority w:val="0"/>
    <w:qFormat/>
    <w:pPr>
      <w:ind w:firstLine="480"/>
    </w:pPr>
    <w:rPr>
      <w:rFonts w:ascii="宋体" w:hAnsi="宋体" w:eastAsia="宋体" w:cs="宋体"/>
      <w:sz w:val="24"/>
    </w:rPr>
  </w:style>
  <w:style w:type="paragraph" w:styleId="849" w:customStyle="1">
    <w:name w:val="正文-大居中"/>
    <w:basedOn w:val="651"/>
    <w:uiPriority w:val="0"/>
    <w:qFormat/>
    <w:pPr>
      <w:ind w:firstLine="0"/>
      <w:jc w:val="center"/>
    </w:pPr>
    <w:rPr>
      <w:rFonts w:eastAsia="宋体" w:cs="仿宋" w:asciiTheme="minorEastAsia" w:hAnsiTheme="minorEastAsia"/>
      <w:b/>
    </w:rPr>
  </w:style>
  <w:style w:type="paragraph" w:styleId="850" w:customStyle="1">
    <w:name w:val="正文（缩进）"/>
    <w:basedOn w:val="651"/>
    <w:uiPriority w:val="0"/>
    <w:qFormat/>
    <w:pPr>
      <w:ind w:firstLine="480"/>
      <w:spacing w:before="156" w:after="156" w:line="360" w:lineRule="auto"/>
    </w:pPr>
    <w:rPr>
      <w:rFonts w:hint="eastAsia"/>
      <w:sz w:val="24"/>
      <w:szCs w:val="20"/>
    </w:rPr>
  </w:style>
  <w:style w:type="paragraph" w:styleId="851" w:customStyle="1">
    <w:name w:val="表格"/>
    <w:basedOn w:val="651"/>
    <w:uiPriority w:val="0"/>
    <w:qFormat/>
    <w:pPr>
      <w:ind w:firstLine="0"/>
      <w:jc w:val="center"/>
      <w:spacing w:line="240" w:lineRule="auto"/>
    </w:pPr>
    <w:rPr>
      <w:sz w:val="24"/>
    </w:rPr>
  </w:style>
  <w:style w:type="paragraph" w:styleId="8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3" w:customStyle="1">
    <w:name w:val="页脚1"/>
    <w:basedOn w:val="651"/>
    <w:uiPriority w:val="99"/>
    <w:unhideWhenUsed/>
    <w:qFormat/>
    <w:pPr>
      <w:jc w:val="left"/>
      <w:tabs>
        <w:tab w:val="center" w:pos="4153" w:leader="none"/>
        <w:tab w:val="right" w:pos="8306" w:leader="none"/>
      </w:tabs>
    </w:pPr>
    <w:rPr>
      <w:sz w:val="18"/>
      <w:szCs w:val="18"/>
    </w:rPr>
  </w:style>
  <w:style w:type="numbering" w:styleId="18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275</cp:revision>
  <dcterms:created xsi:type="dcterms:W3CDTF">2014-10-29T12:08:00Z</dcterms:created>
  <dcterms:modified xsi:type="dcterms:W3CDTF">2026-07-07T08:03:59Z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eyJoZGlkIjoiMmQ5MGZjNWRmZWI3MDc4MzEzODlkZDk5ZWNlYWU1YTkiLCJ1c2VySWQiOiI2MTYxNzc4OTgifQ==</vt:lpwstr>
  </property>
</Properties>
</file>